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全市研发投入“双十佳”企业名单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  <w:t>R&amp;D经费支出“十佳”企业名单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5032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安徽精卓光显技术有限责任公司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安徽迎驾贡酒股份有限公司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安徽开发矿业有限公司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长江精工钢结构（集团）股份有限公司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六安中财管道科技有限公司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安徽应流集团霍山铸造有限公司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安徽马钢张庄矿业有限责任公司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安徽博微长安电子有限公司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六安江淮电机有限公司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安徽胜利精密制造科技有限公司</w:t>
            </w:r>
          </w:p>
        </w:tc>
        <w:tc>
          <w:tcPr>
            <w:tcW w:w="2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R&amp;D经费支出强度“十佳”企业名单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tbl>
      <w:tblPr>
        <w:tblStyle w:val="5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4740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安徽应流航源动力科技有限公司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安徽鼎宏胶辊有限公司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六安名家汇光电科技有限公司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回音必集团安徽制药有限公司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安徽乐图电子科技股份有限公司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六安市鸿圣铸造有限责任公司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安徽点浩商标科技有限公司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安徽人和智能制造有限公司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安徽品华新型建材科技有限公司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安徽跨宇钢结构网架工程有限公司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0C52"/>
    <w:multiLevelType w:val="singleLevel"/>
    <w:tmpl w:val="61BC0C5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81476"/>
    <w:rsid w:val="10815410"/>
    <w:rsid w:val="13481476"/>
    <w:rsid w:val="2FD751C6"/>
    <w:rsid w:val="4EC304B8"/>
    <w:rsid w:val="5DB17B20"/>
    <w:rsid w:val="6BDE2106"/>
    <w:rsid w:val="6D62621F"/>
    <w:rsid w:val="71181A2F"/>
    <w:rsid w:val="751B77AE"/>
    <w:rsid w:val="77BF4D45"/>
    <w:rsid w:val="7BFA284F"/>
    <w:rsid w:val="7D9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2022-01-11T07:03:00Z</dcterms:created>
  <dc:creator>万户网络</dc:creator>
  <cp:lastModifiedBy>万户网络</cp:lastModifiedBy>
  <dcterms:modified xsi:type="dcterms:W3CDTF">2022-01-11T07:03:25Z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