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6A423">
      <w:pPr>
        <w:overflowPunct w:val="0"/>
        <w:adjustRightInd w:val="0"/>
        <w:snapToGrid w:val="0"/>
        <w:spacing w:line="560" w:lineRule="exact"/>
        <w:jc w:val="left"/>
        <w:rPr>
          <w:rFonts w:hint="eastAsia" w:ascii="方正仿宋_GB2312" w:hAnsi="方正仿宋_GB2312" w:eastAsia="方正仿宋_GB2312" w:cs="方正仿宋_GB2312"/>
          <w:sz w:val="36"/>
          <w:szCs w:val="36"/>
          <w:lang w:val="en-US"/>
        </w:rPr>
      </w:pPr>
      <w:r>
        <w:rPr>
          <w:rFonts w:ascii="Times New Roman" w:hAnsi="黑体" w:eastAsia="黑体" w:cs="Times New Roman"/>
          <w:kern w:val="0"/>
          <w:sz w:val="32"/>
          <w:szCs w:val="32"/>
        </w:rPr>
        <w:t>附件</w:t>
      </w:r>
      <w:r>
        <w:rPr>
          <w:rFonts w:hint="eastAsia" w:ascii="Times New Roman" w:hAnsi="黑体" w:eastAsia="黑体" w:cs="Times New Roman"/>
          <w:kern w:val="0"/>
          <w:sz w:val="32"/>
          <w:szCs w:val="32"/>
          <w:lang w:val="en-US" w:eastAsia="zh-CN"/>
        </w:rPr>
        <w:t>1</w:t>
      </w:r>
    </w:p>
    <w:p w14:paraId="02896652">
      <w:pPr>
        <w:numPr>
          <w:ilvl w:val="0"/>
          <w:numId w:val="0"/>
        </w:numPr>
        <w:spacing w:line="240" w:lineRule="auto"/>
        <w:ind w:left="0" w:leftChars="0" w:firstLine="0" w:firstLineChars="0"/>
        <w:jc w:val="center"/>
        <w:rPr>
          <w:rFonts w:hint="eastAsia" w:ascii="方正小标宋_GBK" w:hAnsi="方正小标宋_GBK" w:eastAsia="方正小标宋_GBK" w:cs="方正小标宋_GBK"/>
          <w:b w:val="0"/>
          <w:bCs/>
          <w:color w:val="auto"/>
          <w:kern w:val="2"/>
          <w:sz w:val="36"/>
          <w:szCs w:val="36"/>
          <w:lang w:val="en-US" w:eastAsia="zh-CN" w:bidi="ar-SA"/>
        </w:rPr>
      </w:pPr>
    </w:p>
    <w:p w14:paraId="2B9DB2D6">
      <w:pPr>
        <w:numPr>
          <w:ilvl w:val="0"/>
          <w:numId w:val="0"/>
        </w:numPr>
        <w:spacing w:line="240" w:lineRule="auto"/>
        <w:ind w:left="0" w:leftChars="0" w:firstLine="0" w:firstLineChars="0"/>
        <w:jc w:val="center"/>
        <w:rPr>
          <w:rFonts w:hint="eastAsia" w:ascii="方正小标宋_GBK" w:hAnsi="方正小标宋_GBK" w:eastAsia="方正小标宋_GBK" w:cs="方正小标宋_GBK"/>
          <w:b w:val="0"/>
          <w:bCs/>
          <w:color w:val="auto"/>
          <w:kern w:val="2"/>
          <w:sz w:val="36"/>
          <w:szCs w:val="36"/>
          <w:lang w:val="en-US" w:eastAsia="zh-CN" w:bidi="ar-SA"/>
        </w:rPr>
      </w:pPr>
      <w:r>
        <w:rPr>
          <w:rFonts w:hint="eastAsia" w:ascii="方正小标宋_GBK" w:hAnsi="方正小标宋_GBK" w:eastAsia="方正小标宋_GBK" w:cs="方正小标宋_GBK"/>
          <w:b w:val="0"/>
          <w:bCs/>
          <w:color w:val="auto"/>
          <w:kern w:val="2"/>
          <w:sz w:val="36"/>
          <w:szCs w:val="36"/>
          <w:lang w:val="en-US" w:eastAsia="zh-CN" w:bidi="ar-SA"/>
        </w:rPr>
        <w:t>“AI在宠物镇痛药开发中的应用”榜单概述及发榜金额</w:t>
      </w:r>
    </w:p>
    <w:p w14:paraId="6C582CF8">
      <w:pPr>
        <w:numPr>
          <w:ilvl w:val="0"/>
          <w:numId w:val="0"/>
        </w:numPr>
        <w:spacing w:line="240" w:lineRule="auto"/>
        <w:ind w:left="0" w:leftChars="0" w:firstLine="0" w:firstLineChars="0"/>
        <w:jc w:val="center"/>
        <w:rPr>
          <w:rFonts w:hint="eastAsia" w:ascii="方正小标宋_GBK" w:hAnsi="方正小标宋_GBK" w:eastAsia="方正小标宋_GBK" w:cs="方正小标宋_GBK"/>
          <w:b w:val="0"/>
          <w:bCs/>
          <w:color w:val="auto"/>
          <w:kern w:val="2"/>
          <w:sz w:val="36"/>
          <w:szCs w:val="36"/>
          <w:lang w:val="en-US" w:eastAsia="zh-CN" w:bidi="ar-SA"/>
        </w:rPr>
      </w:pPr>
      <w:r>
        <w:rPr>
          <w:rFonts w:hint="eastAsia" w:ascii="方正小标宋_GBK" w:hAnsi="方正小标宋_GBK" w:eastAsia="方正小标宋_GBK" w:cs="方正小标宋_GBK"/>
          <w:b w:val="0"/>
          <w:bCs/>
          <w:color w:val="auto"/>
          <w:kern w:val="2"/>
          <w:sz w:val="36"/>
          <w:szCs w:val="36"/>
          <w:lang w:val="en-US" w:eastAsia="zh-CN" w:bidi="ar-SA"/>
        </w:rPr>
        <w:t>测算说明</w:t>
      </w:r>
    </w:p>
    <w:p w14:paraId="734AC1EA">
      <w:pPr>
        <w:numPr>
          <w:ilvl w:val="0"/>
          <w:numId w:val="0"/>
        </w:numPr>
        <w:spacing w:line="240" w:lineRule="auto"/>
        <w:ind w:left="0" w:leftChars="0" w:firstLine="0" w:firstLineChars="0"/>
        <w:jc w:val="both"/>
        <w:rPr>
          <w:rFonts w:hint="default" w:ascii="方正黑体_GBK" w:hAnsi="方正黑体_GBK" w:eastAsia="方正黑体_GBK" w:cs="方正黑体_GBK"/>
          <w:b w:val="0"/>
          <w:bCs/>
          <w:color w:val="auto"/>
          <w:kern w:val="2"/>
          <w:sz w:val="36"/>
          <w:szCs w:val="36"/>
          <w:lang w:val="en-US" w:eastAsia="zh-CN" w:bidi="ar-SA"/>
        </w:rPr>
      </w:pPr>
      <w:r>
        <w:rPr>
          <w:rFonts w:hint="eastAsia" w:ascii="方正黑体_GBK" w:hAnsi="方正黑体_GBK" w:eastAsia="方正黑体_GBK" w:cs="方正黑体_GBK"/>
          <w:b w:val="0"/>
          <w:bCs/>
          <w:color w:val="auto"/>
          <w:kern w:val="2"/>
          <w:sz w:val="32"/>
          <w:szCs w:val="32"/>
          <w:lang w:val="en-US" w:eastAsia="zh-CN" w:bidi="ar-SA"/>
        </w:rPr>
        <w:t xml:space="preserve"> 一、榜单概述</w:t>
      </w:r>
    </w:p>
    <w:tbl>
      <w:tblPr>
        <w:tblStyle w:val="5"/>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91"/>
      </w:tblGrid>
      <w:tr w14:paraId="0920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2" w:hRule="atLeast"/>
        </w:trPr>
        <w:tc>
          <w:tcPr>
            <w:tcW w:w="9091" w:type="dxa"/>
            <w:tcBorders>
              <w:top w:val="single" w:color="auto" w:sz="4" w:space="0"/>
              <w:left w:val="single" w:color="auto" w:sz="4" w:space="0"/>
              <w:bottom w:val="single" w:color="auto" w:sz="4" w:space="0"/>
              <w:right w:val="single" w:color="auto" w:sz="4" w:space="0"/>
            </w:tcBorders>
            <w:noWrap w:val="0"/>
            <w:vAlign w:val="center"/>
          </w:tcPr>
          <w:p w14:paraId="580F9A96">
            <w:pPr>
              <w:widowControl/>
              <w:jc w:val="left"/>
              <w:rPr>
                <w:bCs/>
              </w:rPr>
            </w:pPr>
            <w:r>
              <w:rPr>
                <w:rFonts w:hint="eastAsia"/>
                <w:b/>
              </w:rPr>
              <w:t>需求背景、国内外相关情况介绍</w:t>
            </w:r>
            <w:r>
              <w:rPr>
                <w:rFonts w:hint="eastAsia"/>
                <w:bCs/>
              </w:rPr>
              <w:t>（限1000字以内）</w:t>
            </w:r>
          </w:p>
          <w:p w14:paraId="58D58A68">
            <w:pPr>
              <w:spacing w:line="440" w:lineRule="exact"/>
              <w:ind w:firstLine="560" w:firstLineChars="200"/>
              <w:jc w:val="left"/>
              <w:rPr>
                <w:rFonts w:hint="eastAsia" w:ascii="仿宋" w:hAnsi="仿宋" w:eastAsia="仿宋" w:cs="仿宋"/>
                <w:sz w:val="28"/>
                <w:szCs w:val="28"/>
              </w:rPr>
            </w:pPr>
            <w:r>
              <w:rPr>
                <w:rFonts w:ascii="仿宋" w:hAnsi="仿宋" w:eastAsia="仿宋" w:cs="仿宋"/>
                <w:sz w:val="28"/>
                <w:szCs w:val="28"/>
              </w:rPr>
              <w:t>宠物镇痛药物的市场缺口正在快速扩大。随着养宠家庭占比超 35%、宠物医疗消费年均增速达 18.7%，宠物疼痛管理已从可选服务转为刚性需求。据QYResearch发布的数据，2022年全球宠物行业规模达到2460亿美元</w:t>
            </w:r>
            <w:r>
              <w:rPr>
                <w:rFonts w:hint="eastAsia" w:ascii="仿宋" w:hAnsi="仿宋" w:eastAsia="仿宋" w:cs="仿宋"/>
                <w:sz w:val="28"/>
                <w:szCs w:val="28"/>
              </w:rPr>
              <w:t>。根</w:t>
            </w:r>
            <w:r>
              <w:rPr>
                <w:rFonts w:ascii="仿宋" w:hAnsi="仿宋" w:eastAsia="仿宋" w:cs="仿宋"/>
                <w:sz w:val="28"/>
                <w:szCs w:val="28"/>
              </w:rPr>
              <w:t>据《2025 年中国宠物行业白皮书》数据，2024 年底我国城镇宠物犬猫数量达 1.24 亿只，其中 20% 成年犬、30% 以上老年猫受急慢性疼痛困扰，临床需求缺口显著。全球宠物镇痛市场 2023 年规模达 20.6 亿美元，2031 年预计增至 30 亿美元，年均增速 4.8%，欧美巨头凭借技术垄断占据 70% 以上市场份额。然而当前临床可用的镇痛药物极为有限：非甾体抗炎药存在肾毒性、胃肠道溃疡风险，不适合长期使用；阿片类药物受严格管制，获取困难，且易引起呼吸抑制和便秘。宠物临床上极度缺乏一种安全、可长期使用的非阿片类镇痛药。</w:t>
            </w:r>
          </w:p>
          <w:p w14:paraId="4A184A17">
            <w:pPr>
              <w:spacing w:line="440" w:lineRule="exact"/>
              <w:ind w:firstLine="560" w:firstLineChars="200"/>
              <w:jc w:val="left"/>
              <w:rPr>
                <w:rFonts w:hint="eastAsia" w:ascii="仿宋" w:hAnsi="仿宋" w:eastAsia="仿宋" w:cs="仿宋"/>
                <w:sz w:val="28"/>
                <w:szCs w:val="28"/>
              </w:rPr>
            </w:pPr>
            <w:r>
              <w:rPr>
                <w:rFonts w:ascii="仿宋" w:hAnsi="仿宋" w:eastAsia="仿宋" w:cs="仿宋"/>
                <w:sz w:val="28"/>
                <w:szCs w:val="28"/>
              </w:rPr>
              <w:t>2006年，先天性疼痛不敏感患者被发现缺乏功能性NaV1.7通道，因此，科学家热衷于开发选择性NaV1.7抑制剂，希望解决阿片类药物相关的成瘾和耐受问题。替曲朵辛(tetrodotoxin，TTX)是河豚鱼类体内一种非蛋白神经毒素，吸收后作用于神经系统，使电信号传导产生障碍，麻痹感觉和运动神经。临床研究表明，替曲朵辛对顽固性疼痛的镇痛效果明显，可作为重度疼痛的止痛药。替曲朵辛在模型动物也表现出显著的麻醉和镇痛特性，可能通过抑制NaV1.7通道实现，冷冻电镜已解析替曲朵辛和NaV1.7的结合模式</w:t>
            </w:r>
            <w:r>
              <w:rPr>
                <w:rFonts w:hint="eastAsia" w:ascii="仿宋" w:hAnsi="仿宋" w:eastAsia="仿宋" w:cs="仿宋"/>
                <w:sz w:val="28"/>
                <w:szCs w:val="28"/>
              </w:rPr>
              <w:t>。</w:t>
            </w:r>
            <w:r>
              <w:rPr>
                <w:rFonts w:ascii="仿宋" w:hAnsi="仿宋" w:eastAsia="仿宋" w:cs="仿宋"/>
                <w:sz w:val="28"/>
                <w:szCs w:val="28"/>
              </w:rPr>
              <w:t>然而TTX治疗窗口极窄，全身给药风险高——这一安全递送难题是TTX成药的核心瓶颈。目前国内外研究多集中于脂质体、微球等传统剂型改良，但普遍存在载药量低（&lt;3%）、突释风险高、工艺复杂等问题，尚未有成熟产品上市</w:t>
            </w:r>
            <w:r>
              <w:rPr>
                <w:rFonts w:hint="eastAsia" w:ascii="仿宋" w:hAnsi="仿宋" w:eastAsia="仿宋" w:cs="仿宋"/>
                <w:sz w:val="28"/>
                <w:szCs w:val="28"/>
              </w:rPr>
              <w:t>。</w:t>
            </w:r>
          </w:p>
          <w:p w14:paraId="7836B47B">
            <w:pPr>
              <w:spacing w:line="440" w:lineRule="exact"/>
              <w:jc w:val="left"/>
              <w:rPr>
                <w:rFonts w:hint="eastAsia" w:ascii="仿宋" w:hAnsi="仿宋" w:eastAsia="仿宋" w:cs="仿宋"/>
                <w:b/>
                <w:sz w:val="28"/>
                <w:szCs w:val="28"/>
              </w:rPr>
            </w:pPr>
            <w:r>
              <w:rPr>
                <w:rFonts w:ascii="仿宋" w:hAnsi="仿宋" w:eastAsia="仿宋" w:cs="仿宋"/>
                <w:sz w:val="28"/>
                <w:szCs w:val="28"/>
              </w:rPr>
              <w:t>人工智能正在重塑药物递送系统的研发范式。2025年9月，剂泰科技发布全球首个AI驱动纳米递送平台NanoForge，该平台基于量子化学与分子动力学模拟，集成千万级LNP脂质库及自研高通量筛选平台，已实现从分子生成、特性预测到剂型确定的闭环流程。该平台已产出7个临床前候选药物，最快管线已到达pre-NDA阶段。在学术前沿，多智能体药物设计系统（如CentraPharma）也展现出从靶点识别到递送设计的端到端自动化能力。这些进展表明，利用AI解决TTX载体筛选难题的技术条件已经成熟。本项目拟利用AI技术高通量筛选能够与TTX特异性结合的新型生物载体材料，突破传统“试错式”筛选的效率瓶颈，开发适用于宠物的长效镇痛制剂。项目紧扣安徽省“1188”现代化产业体系中生命健康与数字创意两大方向，属于典型的“AI+生物医药</w:t>
            </w:r>
            <w:r>
              <w:rPr>
                <w:rFonts w:hint="eastAsia" w:ascii="仿宋" w:hAnsi="仿宋" w:eastAsia="仿宋" w:cs="仿宋"/>
                <w:sz w:val="28"/>
                <w:szCs w:val="28"/>
              </w:rPr>
              <w:t>+临床转化</w:t>
            </w:r>
            <w:r>
              <w:rPr>
                <w:rFonts w:ascii="仿宋" w:hAnsi="仿宋" w:eastAsia="仿宋" w:cs="仿宋"/>
                <w:sz w:val="28"/>
                <w:szCs w:val="28"/>
              </w:rPr>
              <w:t>”场景创新。以AI技术破解传统药物研发瓶颈，填补国内精准镇痛制剂领域空白，推动宠物医疗产业国产化升级。</w:t>
            </w:r>
          </w:p>
          <w:p w14:paraId="2570BD77">
            <w:pPr>
              <w:spacing w:line="440" w:lineRule="exact"/>
              <w:jc w:val="left"/>
              <w:rPr>
                <w:rFonts w:ascii="仿宋" w:hAnsi="仿宋" w:eastAsia="仿宋" w:cs="仿宋"/>
                <w:sz w:val="28"/>
                <w:szCs w:val="28"/>
              </w:rPr>
            </w:pPr>
          </w:p>
        </w:tc>
      </w:tr>
      <w:tr w14:paraId="401F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9091" w:type="dxa"/>
            <w:tcBorders>
              <w:top w:val="single" w:color="auto" w:sz="4" w:space="0"/>
              <w:left w:val="single" w:color="auto" w:sz="4" w:space="0"/>
              <w:bottom w:val="single" w:color="auto" w:sz="4" w:space="0"/>
              <w:right w:val="single" w:color="auto" w:sz="4" w:space="0"/>
            </w:tcBorders>
            <w:noWrap w:val="0"/>
            <w:vAlign w:val="top"/>
          </w:tcPr>
          <w:p w14:paraId="2E0F5976">
            <w:pPr>
              <w:widowControl/>
              <w:jc w:val="left"/>
              <w:rPr>
                <w:bCs/>
              </w:rPr>
            </w:pPr>
            <w:r>
              <w:rPr>
                <w:rFonts w:hint="eastAsia"/>
                <w:b/>
              </w:rPr>
              <w:t>需求内容描述</w:t>
            </w:r>
            <w:r>
              <w:rPr>
                <w:rFonts w:hint="eastAsia"/>
                <w:bCs/>
              </w:rPr>
              <w:t>（具体需求或技术难点问题概述、技术解决的价值意义，限2000字以内）</w:t>
            </w:r>
          </w:p>
          <w:p w14:paraId="4AADD803">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技术难点1 ：</w:t>
            </w:r>
            <w:r>
              <w:rPr>
                <w:rFonts w:ascii="仿宋" w:hAnsi="仿宋" w:eastAsia="仿宋" w:cs="仿宋"/>
                <w:sz w:val="28"/>
                <w:szCs w:val="28"/>
              </w:rPr>
              <w:t>TTX特异性载体的AI虚拟筛选模型构建</w:t>
            </w:r>
          </w:p>
          <w:p w14:paraId="710A873D">
            <w:pPr>
              <w:spacing w:line="440" w:lineRule="exact"/>
              <w:ind w:firstLine="560" w:firstLineChars="200"/>
              <w:jc w:val="left"/>
              <w:rPr>
                <w:rFonts w:hint="eastAsia" w:ascii="仿宋" w:hAnsi="仿宋" w:eastAsia="仿宋" w:cs="仿宋"/>
                <w:sz w:val="28"/>
                <w:szCs w:val="28"/>
              </w:rPr>
            </w:pPr>
            <w:r>
              <w:rPr>
                <w:rFonts w:ascii="仿宋" w:hAnsi="仿宋" w:eastAsia="仿宋" w:cs="仿宋"/>
                <w:sz w:val="28"/>
                <w:szCs w:val="28"/>
              </w:rPr>
              <w:t>TTX分子小、亲水性强，与常规脂质载体亲和力差。传统分子对接方法通量低，难以处理载体-药物相互作用的动态构象变化。项目需要构建基于图神经网络（GNN）或Transformer架构的载体-药物相互作用预测模型，融合TTX晶体结构、载体三维构象库及模拟体内解离动力学数据，实现从“结构匹配”到“功能匹配”的跨越。模型需具备以下能力：①预测载体与TTX的结合能、结合模式及复合物稳定性；②筛选候选载体的包封率和载药量；③评估载体材料的生物相容性与可降解性。</w:t>
            </w:r>
          </w:p>
          <w:p w14:paraId="796402F1">
            <w:pPr>
              <w:spacing w:line="440" w:lineRule="exact"/>
              <w:ind w:firstLine="560" w:firstLineChars="200"/>
              <w:jc w:val="left"/>
              <w:rPr>
                <w:rFonts w:hint="eastAsia" w:ascii="仿宋" w:hAnsi="仿宋" w:eastAsia="仿宋" w:cs="仿宋"/>
                <w:sz w:val="28"/>
                <w:szCs w:val="28"/>
              </w:rPr>
            </w:pPr>
            <w:r>
              <w:rPr>
                <w:rFonts w:ascii="仿宋" w:hAnsi="仿宋" w:eastAsia="仿宋" w:cs="仿宋"/>
                <w:sz w:val="28"/>
                <w:szCs w:val="28"/>
              </w:rPr>
              <w:t>核心难点</w:t>
            </w:r>
            <w:r>
              <w:rPr>
                <w:rFonts w:hint="eastAsia" w:ascii="仿宋" w:hAnsi="仿宋" w:eastAsia="仿宋" w:cs="仿宋"/>
                <w:sz w:val="28"/>
                <w:szCs w:val="28"/>
              </w:rPr>
              <w:t>2</w:t>
            </w:r>
            <w:r>
              <w:rPr>
                <w:rFonts w:ascii="仿宋" w:hAnsi="仿宋" w:eastAsia="仿宋" w:cs="仿宋"/>
                <w:sz w:val="28"/>
                <w:szCs w:val="28"/>
              </w:rPr>
              <w:t>：体内外释放行为的AI预测模型</w:t>
            </w:r>
          </w:p>
          <w:p w14:paraId="4E227440">
            <w:pPr>
              <w:spacing w:line="440" w:lineRule="exact"/>
              <w:ind w:firstLine="560" w:firstLineChars="200"/>
              <w:jc w:val="left"/>
              <w:rPr>
                <w:rFonts w:hint="eastAsia" w:ascii="仿宋" w:hAnsi="仿宋" w:eastAsia="仿宋" w:cs="仿宋"/>
                <w:sz w:val="28"/>
                <w:szCs w:val="28"/>
              </w:rPr>
            </w:pPr>
            <w:r>
              <w:rPr>
                <w:rFonts w:ascii="仿宋" w:hAnsi="仿宋" w:eastAsia="仿宋" w:cs="仿宋"/>
                <w:sz w:val="28"/>
                <w:szCs w:val="28"/>
              </w:rPr>
              <w:t>载体-TTX复合物的体外释放曲线与在犬/猫体内的实际药代动力学行为存在显著差异。猫的药物代谢能力特殊，现有模型难以直接外推。项目需要利用迁移学习或物理信息神经网络（PINN），建立体内外相关性（IVIVC）预测模型。模型输入应为载体的理化性质（粒径、电位、包封率）及体外释放曲线，输出为犬、猫体内的虚拟生物等效性结果（t1/2、Tmax、Cmax、AUC）。该模型将指导配方迭代，显著减少动物实验量。</w:t>
            </w:r>
          </w:p>
          <w:p w14:paraId="4B24B2D9">
            <w:pPr>
              <w:pStyle w:val="4"/>
              <w:spacing w:line="440" w:lineRule="exact"/>
              <w:ind w:firstLine="560"/>
              <w:rPr>
                <w:rFonts w:hint="eastAsia" w:ascii="仿宋" w:hAnsi="仿宋" w:eastAsia="仿宋" w:cs="仿宋"/>
                <w:sz w:val="28"/>
                <w:szCs w:val="28"/>
              </w:rPr>
            </w:pPr>
            <w:r>
              <w:rPr>
                <w:rFonts w:ascii="仿宋" w:hAnsi="仿宋" w:eastAsia="仿宋" w:cs="仿宋"/>
                <w:sz w:val="28"/>
                <w:szCs w:val="28"/>
              </w:rPr>
              <w:t>核心难点</w:t>
            </w:r>
            <w:r>
              <w:rPr>
                <w:rFonts w:hint="eastAsia" w:ascii="仿宋" w:hAnsi="仿宋" w:eastAsia="仿宋" w:cs="仿宋"/>
                <w:sz w:val="28"/>
                <w:szCs w:val="28"/>
              </w:rPr>
              <w:t>3</w:t>
            </w:r>
            <w:r>
              <w:rPr>
                <w:rFonts w:ascii="仿宋" w:hAnsi="仿宋" w:eastAsia="仿宋" w:cs="仿宋"/>
                <w:sz w:val="28"/>
                <w:szCs w:val="28"/>
              </w:rPr>
              <w:t>：宠物专用制剂工艺放大与稳定性保障</w:t>
            </w:r>
          </w:p>
          <w:p w14:paraId="22712B05">
            <w:pPr>
              <w:spacing w:line="440" w:lineRule="exact"/>
              <w:ind w:firstLine="560" w:firstLineChars="200"/>
              <w:jc w:val="left"/>
              <w:rPr>
                <w:rFonts w:hint="eastAsia" w:ascii="仿宋" w:hAnsi="仿宋" w:eastAsia="仿宋" w:cs="仿宋"/>
                <w:sz w:val="28"/>
                <w:szCs w:val="28"/>
              </w:rPr>
            </w:pPr>
            <w:r>
              <w:rPr>
                <w:rFonts w:ascii="仿宋" w:hAnsi="仿宋" w:eastAsia="仿宋" w:cs="仿宋"/>
                <w:sz w:val="28"/>
                <w:szCs w:val="28"/>
              </w:rPr>
              <w:t>筛选出的最优载体可能结构新颖，其公斤级合成工艺、制剂工艺（无菌过滤、冻干）及长期稳定性（尤其是高温高湿环境下的储存）是产业化落地的关键障碍。同时，产品需具备宠物可接受的适口性（口服液/片剂）或注射无刺激性。项目需要AI辅助的连续制造技术（PAT过程分析）预测工艺参数对产品质量的影响，并建立加速稳定性预测模型。</w:t>
            </w:r>
          </w:p>
          <w:p w14:paraId="1916F34B">
            <w:pPr>
              <w:spacing w:line="440" w:lineRule="exact"/>
              <w:ind w:firstLine="560" w:firstLineChars="200"/>
              <w:jc w:val="left"/>
              <w:rPr>
                <w:rFonts w:hint="eastAsia" w:ascii="仿宋" w:hAnsi="仿宋" w:eastAsia="仿宋" w:cs="仿宋"/>
                <w:sz w:val="28"/>
                <w:szCs w:val="28"/>
              </w:rPr>
            </w:pPr>
            <w:r>
              <w:rPr>
                <w:rFonts w:ascii="仿宋" w:hAnsi="仿宋" w:eastAsia="仿宋" w:cs="仿宋"/>
                <w:sz w:val="28"/>
                <w:szCs w:val="28"/>
              </w:rPr>
              <w:t>技术解决的价值意义</w:t>
            </w:r>
          </w:p>
          <w:p w14:paraId="7B8B037A">
            <w:pPr>
              <w:spacing w:line="440" w:lineRule="exact"/>
              <w:ind w:firstLine="560" w:firstLineChars="200"/>
              <w:jc w:val="left"/>
              <w:rPr>
                <w:rFonts w:hint="eastAsia" w:ascii="仿宋" w:hAnsi="仿宋" w:eastAsia="仿宋" w:cs="仿宋"/>
                <w:sz w:val="28"/>
                <w:szCs w:val="28"/>
              </w:rPr>
            </w:pPr>
            <w:r>
              <w:rPr>
                <w:rFonts w:ascii="仿宋" w:hAnsi="仿宋" w:eastAsia="仿宋" w:cs="仿宋"/>
                <w:sz w:val="28"/>
                <w:szCs w:val="28"/>
              </w:rPr>
              <w:t>为宠物提供一种非阿片类、非甾体类的新型镇痛选择。针对老年宠物骨关节炎疼痛、癌症疼痛及软组织术后急性疼痛，实现“一次给药，长效镇痛（≥72小时）”，显著提升动物福利。参考TTX经皮递送研究的数据，900ng剂量下减痛效果可维持11.25小时，本项目目标为通过载体优化进一步延长至72小时以上。本项目将建立一套“AI辅助天然产物载体筛选”的技术范式。该范式可快速复制到其他难溶性或高毒性天然药物（如乌头碱类、强心苷类）的改良中，推动生物医药产业从“仿制为主”向“创新剂型智造”转型。国内已出现AI药物递送的成功案例——剂泰科技的NanoForge平台将纳米递送研发从“试错”转变为“预测驱动”</w:t>
            </w:r>
            <w:r>
              <w:rPr>
                <w:rFonts w:hint="eastAsia" w:ascii="仿宋" w:hAnsi="仿宋" w:eastAsia="仿宋" w:cs="仿宋"/>
                <w:sz w:val="28"/>
                <w:szCs w:val="28"/>
              </w:rPr>
              <w:t>。</w:t>
            </w:r>
          </w:p>
          <w:p w14:paraId="1DB0862D">
            <w:pPr>
              <w:spacing w:line="440" w:lineRule="exact"/>
              <w:ind w:firstLine="560" w:firstLineChars="200"/>
              <w:jc w:val="left"/>
              <w:rPr>
                <w:lang w:val="en-US" w:eastAsia="zh-CN"/>
              </w:rPr>
            </w:pPr>
            <w:r>
              <w:rPr>
                <w:rFonts w:hint="eastAsia" w:ascii="仿宋" w:hAnsi="仿宋" w:eastAsia="仿宋" w:cs="仿宋"/>
                <w:sz w:val="28"/>
                <w:szCs w:val="28"/>
              </w:rPr>
              <w:t>所带来的经济与社会效益，</w:t>
            </w:r>
            <w:r>
              <w:rPr>
                <w:rFonts w:ascii="仿宋" w:hAnsi="仿宋" w:eastAsia="仿宋" w:cs="仿宋"/>
                <w:sz w:val="28"/>
                <w:szCs w:val="28"/>
              </w:rPr>
              <w:t>据QYResearch数据，中国兽用止痛药品市场正处于快速增长期。一款安全有效的长效宠物镇痛药具有明确的市场前景。社会效益方面，减少因宠物疼痛导致的行为问题所引发的人宠矛盾和弃养现象；同时，通过“揭榜挂帅”机制吸引省内外AI、药学、兽医学高端人才聚集。</w:t>
            </w:r>
          </w:p>
        </w:tc>
      </w:tr>
      <w:tr w14:paraId="1202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trPr>
        <w:tc>
          <w:tcPr>
            <w:tcW w:w="9091" w:type="dxa"/>
            <w:tcBorders>
              <w:top w:val="single" w:color="auto" w:sz="4" w:space="0"/>
              <w:left w:val="single" w:color="auto" w:sz="4" w:space="0"/>
              <w:bottom w:val="single" w:color="auto" w:sz="4" w:space="0"/>
              <w:right w:val="single" w:color="auto" w:sz="4" w:space="0"/>
            </w:tcBorders>
            <w:noWrap w:val="0"/>
            <w:vAlign w:val="top"/>
          </w:tcPr>
          <w:p w14:paraId="756228BC">
            <w:pPr>
              <w:widowControl/>
              <w:jc w:val="left"/>
              <w:rPr>
                <w:bCs/>
              </w:rPr>
            </w:pPr>
            <w:r>
              <w:rPr>
                <w:rFonts w:hint="eastAsia"/>
                <w:b/>
              </w:rPr>
              <w:t>考核指标</w:t>
            </w:r>
            <w:r>
              <w:rPr>
                <w:rFonts w:hint="eastAsia"/>
                <w:bCs/>
              </w:rPr>
              <w:t>（成果形式、关键绩效指标，包括但不限于提质、降本、增效以及“双招双引”等情况，限1000字以内）</w:t>
            </w:r>
          </w:p>
          <w:p w14:paraId="321BE3DE">
            <w:pPr>
              <w:spacing w:line="440" w:lineRule="exact"/>
              <w:ind w:firstLine="560" w:firstLineChars="200"/>
              <w:jc w:val="left"/>
              <w:rPr>
                <w:sz w:val="28"/>
              </w:rPr>
            </w:pPr>
            <w:r>
              <w:rPr>
                <w:rFonts w:hint="eastAsia"/>
                <w:sz w:val="28"/>
              </w:rPr>
              <w:t>成果指标：</w:t>
            </w:r>
          </w:p>
          <w:p w14:paraId="4BAC7AA7">
            <w:pPr>
              <w:spacing w:line="440" w:lineRule="exact"/>
              <w:ind w:firstLine="560" w:firstLineChars="200"/>
              <w:jc w:val="left"/>
              <w:rPr>
                <w:rFonts w:hint="eastAsia" w:ascii="仿宋" w:hAnsi="仿宋" w:eastAsia="仿宋" w:cs="仿宋"/>
                <w:sz w:val="28"/>
                <w:szCs w:val="28"/>
              </w:rPr>
            </w:pPr>
            <w:r>
              <w:rPr>
                <w:rFonts w:hint="eastAsia"/>
                <w:sz w:val="28"/>
              </w:rPr>
              <w:t>1、获</w:t>
            </w:r>
            <w:r>
              <w:rPr>
                <w:rFonts w:ascii="仿宋" w:hAnsi="仿宋" w:eastAsia="仿宋" w:cs="仿宋"/>
                <w:sz w:val="28"/>
                <w:szCs w:val="28"/>
              </w:rPr>
              <w:t>得1-2个具有自主知识产权的TTX特异性结合载体（化合物或材料），包封率≥85%，载药量≥10%</w:t>
            </w:r>
          </w:p>
          <w:p w14:paraId="112EF8D8">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完成1个宠物镇痛药候选制剂（口服液或注射液）的完整处方及制备工艺</w:t>
            </w:r>
            <w:r>
              <w:rPr>
                <w:rFonts w:hint="eastAsia" w:ascii="仿宋" w:hAnsi="仿宋" w:eastAsia="仿宋" w:cs="仿宋"/>
                <w:sz w:val="28"/>
                <w:szCs w:val="28"/>
              </w:rPr>
              <w:t>。</w:t>
            </w:r>
          </w:p>
          <w:p w14:paraId="243D8CFA">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开发1套基于AI的载体-药物虚拟筛选模型及软件</w:t>
            </w:r>
            <w:r>
              <w:rPr>
                <w:rFonts w:hint="eastAsia" w:ascii="仿宋" w:hAnsi="仿宋" w:eastAsia="仿宋" w:cs="仿宋"/>
                <w:sz w:val="28"/>
                <w:szCs w:val="28"/>
              </w:rPr>
              <w:t>，</w:t>
            </w:r>
            <w:r>
              <w:rPr>
                <w:rFonts w:ascii="仿宋" w:hAnsi="仿宋" w:eastAsia="仿宋" w:cs="仿宋"/>
                <w:sz w:val="28"/>
                <w:szCs w:val="28"/>
              </w:rPr>
              <w:t>集成数据管理、算法服务、资源调度、可视化及报告生成功能；</w:t>
            </w:r>
          </w:p>
          <w:p w14:paraId="5914F5F8">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形成1套用于预测TTX复合物犬/猫体内药代动力学的计算机模拟系统</w:t>
            </w:r>
          </w:p>
          <w:p w14:paraId="763D0A2B">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5、申请发明专利4项。</w:t>
            </w:r>
          </w:p>
          <w:p w14:paraId="3AF1E759">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制定企业标准1项（宠物镇痛药质量控制标准）</w:t>
            </w:r>
          </w:p>
          <w:p w14:paraId="0A7A3296">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7、完成宠物药的IIT一项。</w:t>
            </w:r>
          </w:p>
          <w:p w14:paraId="10270873">
            <w:pPr>
              <w:spacing w:line="440" w:lineRule="exact"/>
              <w:jc w:val="left"/>
              <w:rPr>
                <w:rFonts w:hint="eastAsia" w:ascii="仿宋" w:hAnsi="仿宋" w:eastAsia="仿宋" w:cs="仿宋"/>
                <w:sz w:val="28"/>
                <w:szCs w:val="28"/>
              </w:rPr>
            </w:pPr>
            <w:r>
              <w:rPr>
                <w:rFonts w:ascii="仿宋" w:hAnsi="仿宋" w:eastAsia="仿宋" w:cs="仿宋"/>
                <w:sz w:val="28"/>
                <w:szCs w:val="28"/>
              </w:rPr>
              <w:t>降本与增效：</w:t>
            </w:r>
          </w:p>
          <w:p w14:paraId="6D627931">
            <w:pPr>
              <w:spacing w:line="440" w:lineRule="exact"/>
              <w:ind w:firstLine="560" w:firstLineChars="200"/>
              <w:jc w:val="left"/>
              <w:rPr>
                <w:rFonts w:hint="eastAsia" w:ascii="仿宋" w:hAnsi="仿宋" w:eastAsia="仿宋" w:cs="仿宋"/>
                <w:sz w:val="28"/>
                <w:szCs w:val="28"/>
              </w:rPr>
            </w:pPr>
            <w:r>
              <w:rPr>
                <w:rFonts w:ascii="仿宋" w:hAnsi="仿宋" w:eastAsia="仿宋" w:cs="仿宋"/>
                <w:sz w:val="28"/>
                <w:szCs w:val="28"/>
              </w:rPr>
              <w:t>研发效率提升：与传统实验筛选相比，AI模型将载体筛选周期从12-18个月缩短至4-6个月，成本降低50%以上</w:t>
            </w:r>
            <w:r>
              <w:rPr>
                <w:rFonts w:hint="eastAsia" w:ascii="仿宋" w:hAnsi="仿宋" w:eastAsia="仿宋" w:cs="仿宋"/>
                <w:sz w:val="28"/>
                <w:szCs w:val="28"/>
              </w:rPr>
              <w:t>，</w:t>
            </w:r>
            <w:r>
              <w:rPr>
                <w:rFonts w:ascii="仿宋" w:hAnsi="仿宋" w:eastAsia="仿宋" w:cs="仿宋"/>
                <w:sz w:val="28"/>
                <w:szCs w:val="28"/>
              </w:rPr>
              <w:t>制剂工艺批间差异≤5%，成品率≥95%</w:t>
            </w:r>
          </w:p>
          <w:p w14:paraId="775F2E21">
            <w:pPr>
              <w:spacing w:line="440" w:lineRule="exact"/>
              <w:jc w:val="left"/>
              <w:rPr>
                <w:rFonts w:hint="eastAsia" w:ascii="仿宋" w:hAnsi="仿宋" w:eastAsia="仿宋" w:cs="仿宋"/>
                <w:sz w:val="28"/>
                <w:szCs w:val="28"/>
              </w:rPr>
            </w:pPr>
            <w:r>
              <w:rPr>
                <w:rFonts w:ascii="仿宋" w:hAnsi="仿宋" w:eastAsia="仿宋" w:cs="仿宋"/>
                <w:sz w:val="28"/>
                <w:szCs w:val="28"/>
              </w:rPr>
              <w:t>产业化与“双招双引”：</w:t>
            </w:r>
          </w:p>
          <w:p w14:paraId="38BCDC22">
            <w:pPr>
              <w:spacing w:line="440" w:lineRule="exact"/>
              <w:ind w:firstLine="560" w:firstLineChars="200"/>
              <w:jc w:val="left"/>
              <w:rPr>
                <w:rFonts w:hint="eastAsia" w:ascii="仿宋" w:hAnsi="仿宋" w:eastAsia="仿宋" w:cs="仿宋"/>
                <w:sz w:val="28"/>
                <w:szCs w:val="28"/>
              </w:rPr>
            </w:pPr>
            <w:r>
              <w:rPr>
                <w:rFonts w:ascii="仿宋" w:hAnsi="仿宋" w:eastAsia="仿宋" w:cs="仿宋"/>
                <w:sz w:val="28"/>
                <w:szCs w:val="28"/>
              </w:rPr>
              <w:t>项目执行期内（2年）完成完成针对慢性疼痛适应症的研究者发起临床研究（IIT）备案1项</w:t>
            </w:r>
            <w:r>
              <w:rPr>
                <w:rFonts w:hint="eastAsia" w:ascii="仿宋" w:hAnsi="仿宋" w:eastAsia="仿宋" w:cs="仿宋"/>
                <w:sz w:val="28"/>
                <w:szCs w:val="28"/>
              </w:rPr>
              <w:t>。</w:t>
            </w:r>
          </w:p>
          <w:p w14:paraId="3BB50E87">
            <w:pPr>
              <w:spacing w:line="440" w:lineRule="exact"/>
              <w:ind w:firstLine="560" w:firstLineChars="200"/>
              <w:jc w:val="left"/>
              <w:rPr>
                <w:rFonts w:hint="eastAsia" w:ascii="仿宋" w:hAnsi="仿宋" w:eastAsia="仿宋" w:cs="仿宋"/>
                <w:sz w:val="28"/>
                <w:szCs w:val="28"/>
              </w:rPr>
            </w:pPr>
            <w:r>
              <w:rPr>
                <w:rFonts w:ascii="仿宋" w:hAnsi="仿宋" w:eastAsia="仿宋" w:cs="仿宋"/>
                <w:sz w:val="28"/>
                <w:szCs w:val="28"/>
              </w:rPr>
              <w:t>引进AI算法、药物制剂、兽医药理方向省级以上高层次人才至少2名</w:t>
            </w:r>
            <w:r>
              <w:rPr>
                <w:rFonts w:hint="eastAsia" w:ascii="仿宋" w:hAnsi="仿宋" w:eastAsia="仿宋" w:cs="仿宋"/>
                <w:sz w:val="28"/>
                <w:szCs w:val="28"/>
              </w:rPr>
              <w:t>。</w:t>
            </w:r>
          </w:p>
          <w:p w14:paraId="5DFD1E00">
            <w:pPr>
              <w:spacing w:line="440" w:lineRule="exact"/>
              <w:ind w:firstLine="560" w:firstLineChars="200"/>
              <w:jc w:val="left"/>
              <w:rPr>
                <w:rFonts w:hint="eastAsia" w:ascii="仿宋" w:hAnsi="仿宋" w:eastAsia="仿宋" w:cs="仿宋"/>
                <w:sz w:val="28"/>
                <w:szCs w:val="28"/>
              </w:rPr>
            </w:pPr>
            <w:r>
              <w:rPr>
                <w:rFonts w:ascii="仿宋" w:hAnsi="仿宋" w:eastAsia="仿宋" w:cs="仿宋"/>
                <w:sz w:val="28"/>
                <w:szCs w:val="28"/>
              </w:rPr>
              <w:t>与至少1家省外或境外头部宠物药企或CRO机构达成技术合作或成果转化意向</w:t>
            </w:r>
            <w:r>
              <w:rPr>
                <w:rFonts w:hint="eastAsia" w:ascii="仿宋" w:hAnsi="仿宋" w:eastAsia="仿宋" w:cs="仿宋"/>
                <w:sz w:val="28"/>
                <w:szCs w:val="28"/>
              </w:rPr>
              <w:t>。</w:t>
            </w:r>
          </w:p>
          <w:p w14:paraId="1E694B4D">
            <w:pPr>
              <w:spacing w:line="440" w:lineRule="exact"/>
              <w:ind w:firstLine="560" w:firstLineChars="200"/>
              <w:jc w:val="left"/>
              <w:rPr>
                <w:rFonts w:ascii="仿宋" w:hAnsi="仿宋" w:eastAsia="仿宋" w:cs="仿宋"/>
                <w:sz w:val="28"/>
                <w:szCs w:val="28"/>
              </w:rPr>
            </w:pPr>
            <w:r>
              <w:rPr>
                <w:rFonts w:ascii="仿宋" w:hAnsi="仿宋" w:eastAsia="仿宋" w:cs="仿宋"/>
                <w:sz w:val="28"/>
                <w:szCs w:val="28"/>
              </w:rPr>
              <w:t>带动新增就业不少于15人</w:t>
            </w:r>
            <w:r>
              <w:rPr>
                <w:rFonts w:hint="eastAsia" w:ascii="仿宋" w:hAnsi="仿宋" w:eastAsia="仿宋" w:cs="仿宋"/>
                <w:sz w:val="28"/>
                <w:szCs w:val="28"/>
              </w:rPr>
              <w:t>。</w:t>
            </w:r>
          </w:p>
        </w:tc>
      </w:tr>
      <w:tr w14:paraId="1666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trPr>
        <w:tc>
          <w:tcPr>
            <w:tcW w:w="9091" w:type="dxa"/>
            <w:tcBorders>
              <w:top w:val="single" w:color="auto" w:sz="4" w:space="0"/>
              <w:left w:val="single" w:color="auto" w:sz="4" w:space="0"/>
              <w:bottom w:val="single" w:color="auto" w:sz="4" w:space="0"/>
              <w:right w:val="single" w:color="auto" w:sz="4" w:space="0"/>
            </w:tcBorders>
            <w:noWrap w:val="0"/>
            <w:vAlign w:val="top"/>
          </w:tcPr>
          <w:p w14:paraId="1D5476DD">
            <w:pPr>
              <w:widowControl/>
              <w:jc w:val="left"/>
              <w:rPr>
                <w:bCs/>
              </w:rPr>
            </w:pPr>
            <w:r>
              <w:rPr>
                <w:rFonts w:hint="eastAsia"/>
                <w:b/>
              </w:rPr>
              <w:t>现有基础情况</w:t>
            </w:r>
            <w:r>
              <w:rPr>
                <w:rFonts w:hint="eastAsia"/>
                <w:bCs/>
              </w:rPr>
              <w:t>（已经开展的工作、所处阶段、投入资金和人力、仪器设备、研发生产条件等，限1000字以内）</w:t>
            </w:r>
          </w:p>
          <w:p w14:paraId="36482113">
            <w:pPr>
              <w:spacing w:line="440" w:lineRule="exact"/>
              <w:ind w:firstLine="560" w:firstLineChars="200"/>
              <w:rPr>
                <w:rFonts w:hint="eastAsia" w:ascii="仿宋" w:hAnsi="仿宋" w:eastAsia="仿宋" w:cs="仿宋"/>
                <w:bCs/>
                <w:sz w:val="28"/>
                <w:szCs w:val="28"/>
              </w:rPr>
            </w:pPr>
            <w:r>
              <w:rPr>
                <w:rFonts w:ascii="仿宋" w:hAnsi="仿宋" w:eastAsia="仿宋" w:cs="仿宋"/>
                <w:bCs/>
                <w:sz w:val="28"/>
                <w:szCs w:val="28"/>
              </w:rPr>
              <w:t>安徽华沐生物科技有限公司是安徽省重点合成生物企业，建有安徽省级研发平台，联合中国科学院建有“中科华沐海洋活性物质研究实验室”，联合安徽医科大学建有“下一代镇痛药物基础研究和应用转化联合实验室”，公司重点进行海洋生物活性物质开发。研究团队现有国家杰青一名，青年长江一名，安徽省百人计划一名，</w:t>
            </w:r>
            <w:r>
              <w:rPr>
                <w:rFonts w:hint="eastAsia" w:ascii="仿宋" w:hAnsi="仿宋" w:eastAsia="仿宋" w:cs="仿宋"/>
                <w:bCs/>
                <w:sz w:val="28"/>
                <w:szCs w:val="28"/>
              </w:rPr>
              <w:t>安徽省</w:t>
            </w:r>
            <w:r>
              <w:rPr>
                <w:rFonts w:ascii="仿宋" w:hAnsi="仿宋" w:eastAsia="仿宋" w:cs="仿宋"/>
                <w:bCs/>
                <w:sz w:val="28"/>
                <w:szCs w:val="28"/>
              </w:rPr>
              <w:t>江淮英才一名。</w:t>
            </w:r>
          </w:p>
          <w:p w14:paraId="39A125E9">
            <w:pPr>
              <w:spacing w:line="44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公</w:t>
            </w:r>
            <w:r>
              <w:rPr>
                <w:rFonts w:ascii="仿宋" w:hAnsi="仿宋" w:eastAsia="仿宋" w:cs="仿宋"/>
                <w:bCs/>
                <w:sz w:val="28"/>
                <w:szCs w:val="28"/>
              </w:rPr>
              <w:t>司开发了微生物复配动物细胞的模块化共培养技术，实现了替曲朵辛的从头生物合成。核心工艺是通过合成生物学方法获得高产替曲朵辛的微生物，采用二元细胞培养系统富集产物。与传统天然组织分离纯化方法相比，富集能力是天然方法的数十倍。已成功获取新型非阿片类镇痛药原料替曲朵辛，研发产品具有完全自主知识产权。公司的聚前药设计能够降低药物泄漏、加速药物释放、改善药代动力学，在提高功效的同时降低毒副作用。实验证实，公司</w:t>
            </w:r>
            <w:r>
              <w:rPr>
                <w:rFonts w:hint="eastAsia" w:ascii="仿宋" w:hAnsi="仿宋" w:eastAsia="仿宋" w:cs="仿宋"/>
                <w:bCs/>
                <w:sz w:val="28"/>
                <w:szCs w:val="28"/>
              </w:rPr>
              <w:t>已</w:t>
            </w:r>
            <w:r>
              <w:rPr>
                <w:rFonts w:ascii="仿宋" w:hAnsi="仿宋" w:eastAsia="仿宋" w:cs="仿宋"/>
                <w:bCs/>
                <w:sz w:val="28"/>
                <w:szCs w:val="28"/>
              </w:rPr>
              <w:t>开发的</w:t>
            </w:r>
            <w:r>
              <w:rPr>
                <w:rFonts w:hint="eastAsia" w:ascii="仿宋" w:hAnsi="仿宋" w:eastAsia="仿宋" w:cs="仿宋"/>
                <w:bCs/>
                <w:sz w:val="28"/>
                <w:szCs w:val="28"/>
              </w:rPr>
              <w:t>核心前药</w:t>
            </w:r>
            <w:r>
              <w:rPr>
                <w:rFonts w:ascii="仿宋" w:hAnsi="仿宋" w:eastAsia="仿宋" w:cs="仿宋"/>
                <w:bCs/>
                <w:sz w:val="28"/>
                <w:szCs w:val="28"/>
              </w:rPr>
              <w:t>中替曲朵辛负载量远高于哈佛大学医学院发表在Nature Communications 2019,10,2566论文的结果</w:t>
            </w:r>
            <w:r>
              <w:rPr>
                <w:rFonts w:hint="eastAsia" w:ascii="仿宋" w:hAnsi="仿宋" w:eastAsia="仿宋" w:cs="仿宋"/>
                <w:bCs/>
                <w:sz w:val="28"/>
                <w:szCs w:val="28"/>
              </w:rPr>
              <w:t>。</w:t>
            </w:r>
          </w:p>
          <w:p w14:paraId="6CE29C2B">
            <w:pPr>
              <w:spacing w:line="440" w:lineRule="exact"/>
              <w:ind w:firstLine="560" w:firstLineChars="200"/>
              <w:rPr>
                <w:rFonts w:hint="eastAsia" w:ascii="仿宋" w:hAnsi="仿宋" w:eastAsia="仿宋" w:cs="仿宋"/>
                <w:bCs/>
                <w:sz w:val="28"/>
                <w:szCs w:val="28"/>
              </w:rPr>
            </w:pPr>
            <w:r>
              <w:rPr>
                <w:rFonts w:ascii="仿宋" w:hAnsi="仿宋" w:eastAsia="仿宋" w:cs="仿宋"/>
                <w:bCs/>
                <w:sz w:val="28"/>
                <w:szCs w:val="28"/>
              </w:rPr>
              <w:t>公司近年来承担了多项重要科研项目</w:t>
            </w:r>
            <w:r>
              <w:rPr>
                <w:rFonts w:hint="eastAsia" w:ascii="仿宋" w:hAnsi="仿宋" w:eastAsia="仿宋" w:cs="仿宋"/>
                <w:bCs/>
                <w:sz w:val="28"/>
                <w:szCs w:val="28"/>
              </w:rPr>
              <w:t>，</w:t>
            </w:r>
            <w:r>
              <w:rPr>
                <w:rFonts w:ascii="仿宋" w:hAnsi="仿宋" w:eastAsia="仿宋" w:cs="仿宋"/>
                <w:bCs/>
                <w:sz w:val="28"/>
                <w:szCs w:val="28"/>
              </w:rPr>
              <w:t>长三角科技创新共同体联合攻关项目：2024年立项的“非阿片类药物替曲朵辛原料药的生物合成及其镇痛机理研究”，由安徽医科大学牵头，华沐生物联合中国科学技术大学苏州高等研究院、中国科学院合肥物质科学研究院共同攻关。该项目是安徽省在人口与健康领域唯一获批的长三角联合攻关项目</w:t>
            </w:r>
            <w:r>
              <w:rPr>
                <w:rFonts w:hint="eastAsia" w:ascii="仿宋" w:hAnsi="仿宋" w:eastAsia="仿宋" w:cs="仿宋"/>
                <w:bCs/>
                <w:sz w:val="28"/>
                <w:szCs w:val="28"/>
              </w:rPr>
              <w:t>。国家科技重大专项</w:t>
            </w:r>
            <w:r>
              <w:rPr>
                <w:rFonts w:ascii="仿宋" w:hAnsi="仿宋" w:eastAsia="仿宋" w:cs="仿宋"/>
                <w:bCs/>
                <w:sz w:val="28"/>
                <w:szCs w:val="28"/>
              </w:rPr>
              <w:t>项目“来源于天然产物的化学镇痛创新药物研发”入选创新药物研发国家科技重大专项2026年度项目申报指南。</w:t>
            </w:r>
          </w:p>
          <w:p w14:paraId="64CB3E41">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尽管公司在替曲朵辛生物合成和聚前药设计方面具有自主核心技术，但在AI辅助载体筛选建模、犬猫等靶动物药代动力学精准评价方面仍存在短板。公司现有AI团队规模较小，缺乏资深AI药物设计专家，亟需通过“揭榜挂帅”引入外部力量，加速替曲朵辛从原料药向宠物制剂产品的转化。</w:t>
            </w:r>
          </w:p>
        </w:tc>
      </w:tr>
      <w:tr w14:paraId="2208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trPr>
        <w:tc>
          <w:tcPr>
            <w:tcW w:w="9091" w:type="dxa"/>
            <w:tcBorders>
              <w:top w:val="single" w:color="auto" w:sz="4" w:space="0"/>
              <w:left w:val="single" w:color="auto" w:sz="4" w:space="0"/>
              <w:bottom w:val="single" w:color="auto" w:sz="4" w:space="0"/>
              <w:right w:val="single" w:color="auto" w:sz="4" w:space="0"/>
            </w:tcBorders>
            <w:noWrap w:val="0"/>
            <w:vAlign w:val="top"/>
          </w:tcPr>
          <w:p w14:paraId="17E11F57">
            <w:pPr>
              <w:widowControl/>
              <w:jc w:val="left"/>
              <w:rPr>
                <w:bCs/>
              </w:rPr>
            </w:pPr>
            <w:r>
              <w:rPr>
                <w:rFonts w:hint="eastAsia"/>
                <w:b/>
              </w:rPr>
              <w:t>对揭榜方要求</w:t>
            </w:r>
            <w:r>
              <w:rPr>
                <w:rFonts w:hint="eastAsia"/>
                <w:bCs/>
              </w:rPr>
              <w:t>（希望与哪类企业、高校、科研院所等科研单位开展合作，以及对专家及团队所属领域和水平的要求，限1000字以内）</w:t>
            </w:r>
          </w:p>
          <w:p w14:paraId="62015BE0">
            <w:pPr>
              <w:spacing w:line="440" w:lineRule="exact"/>
              <w:rPr>
                <w:rFonts w:hint="eastAsia" w:ascii="仿宋" w:hAnsi="仿宋" w:eastAsia="仿宋" w:cs="仿宋"/>
                <w:bCs/>
                <w:sz w:val="28"/>
                <w:szCs w:val="28"/>
              </w:rPr>
            </w:pPr>
            <w:r>
              <w:rPr>
                <w:rFonts w:hint="eastAsia" w:ascii="仿宋" w:hAnsi="仿宋" w:eastAsia="仿宋" w:cs="仿宋"/>
                <w:bCs/>
                <w:sz w:val="28"/>
                <w:szCs w:val="28"/>
              </w:rPr>
              <w:t>（一）合作单位类型</w:t>
            </w:r>
          </w:p>
          <w:p w14:paraId="169FDF10">
            <w:pPr>
              <w:spacing w:line="440" w:lineRule="exact"/>
              <w:rPr>
                <w:rFonts w:hint="eastAsia" w:ascii="仿宋" w:hAnsi="仿宋" w:eastAsia="仿宋" w:cs="仿宋"/>
                <w:bCs/>
                <w:sz w:val="28"/>
                <w:szCs w:val="28"/>
              </w:rPr>
            </w:pPr>
            <w:r>
              <w:rPr>
                <w:rFonts w:hint="eastAsia" w:ascii="仿宋" w:hAnsi="仿宋" w:eastAsia="仿宋" w:cs="仿宋"/>
                <w:bCs/>
                <w:sz w:val="28"/>
                <w:szCs w:val="28"/>
              </w:rPr>
              <w:t>希望与在人工智能与合成生物学交叉领域具有突出优势的高校或科研院所开展合作。合作单位应具备生物制造、药物递送等方面的研究积累，同时在机器学习、过程建模等人工智能领域具有较强的算法开发能力，具备“干湿结合”的研究能力，能够将计算设计与实验验证、工业生产有效衔接。优先选择与安徽省内企业已有研发基础、熟悉生物制造或生物医药行业需求、能够快速响应产业化应用的科研团队。</w:t>
            </w:r>
          </w:p>
          <w:p w14:paraId="7159F560">
            <w:pPr>
              <w:spacing w:line="440" w:lineRule="exact"/>
              <w:rPr>
                <w:rFonts w:hint="eastAsia" w:ascii="仿宋" w:hAnsi="仿宋" w:eastAsia="仿宋" w:cs="仿宋"/>
                <w:bCs/>
                <w:sz w:val="28"/>
                <w:szCs w:val="28"/>
              </w:rPr>
            </w:pPr>
            <w:r>
              <w:rPr>
                <w:rFonts w:hint="eastAsia" w:ascii="仿宋" w:hAnsi="仿宋" w:eastAsia="仿宋" w:cs="仿宋"/>
                <w:bCs/>
                <w:sz w:val="28"/>
                <w:szCs w:val="28"/>
              </w:rPr>
              <w:t>（二）专家及团队要求</w:t>
            </w:r>
          </w:p>
          <w:p w14:paraId="5E62C9EC">
            <w:pPr>
              <w:spacing w:line="44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团队负责人应在生物制造、药物模型构建领域有长期积累，主持过国家级或省部级重大科研项目，具备实验室成果向产业化转化的实际经验，能够统筹生物学、工程学和信息科学等多方向协同攻关。</w:t>
            </w:r>
          </w:p>
          <w:p w14:paraId="2FAC54A3">
            <w:pPr>
              <w:spacing w:line="440" w:lineRule="exact"/>
              <w:rPr>
                <w:rFonts w:hint="eastAsia" w:ascii="仿宋" w:hAnsi="仿宋" w:eastAsia="仿宋" w:cs="仿宋"/>
                <w:bCs/>
                <w:sz w:val="28"/>
                <w:szCs w:val="28"/>
              </w:rPr>
            </w:pPr>
            <w:r>
              <w:rPr>
                <w:rFonts w:hint="eastAsia" w:ascii="仿宋" w:hAnsi="仿宋" w:eastAsia="仿宋" w:cs="仿宋"/>
                <w:bCs/>
                <w:sz w:val="28"/>
                <w:szCs w:val="28"/>
              </w:rPr>
              <w:t>团队应在以下三个方向具有明显优势：</w:t>
            </w:r>
          </w:p>
          <w:p w14:paraId="0C47DCDD">
            <w:pPr>
              <w:spacing w:line="440" w:lineRule="exact"/>
              <w:rPr>
                <w:rFonts w:hint="eastAsia" w:ascii="仿宋" w:hAnsi="仿宋" w:eastAsia="仿宋" w:cs="仿宋"/>
                <w:bCs/>
                <w:sz w:val="28"/>
                <w:szCs w:val="28"/>
              </w:rPr>
            </w:pPr>
            <w:r>
              <w:rPr>
                <w:rFonts w:hint="eastAsia" w:ascii="仿宋" w:hAnsi="仿宋" w:eastAsia="仿宋" w:cs="仿宋"/>
                <w:bCs/>
                <w:sz w:val="28"/>
                <w:szCs w:val="28"/>
              </w:rPr>
              <w:t>1. 数据驱动的产物筛选与优化</w:t>
            </w:r>
          </w:p>
          <w:p w14:paraId="3EFB4178">
            <w:pPr>
              <w:spacing w:line="44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具备高通量筛选、诱变育种或定向进化等方面的实际应用经验，擅长TTX特异性载体材料的筛选与优化，能够建立载体结构特征与包封率、载药量、稳定性等关键性能之间的关联模型，指导高效载体的理性设计。</w:t>
            </w:r>
          </w:p>
          <w:p w14:paraId="67437AE3">
            <w:pPr>
              <w:spacing w:line="440" w:lineRule="exact"/>
              <w:rPr>
                <w:rFonts w:hint="eastAsia" w:ascii="仿宋" w:hAnsi="仿宋" w:eastAsia="仿宋" w:cs="仿宋"/>
                <w:bCs/>
                <w:sz w:val="28"/>
                <w:szCs w:val="28"/>
              </w:rPr>
            </w:pPr>
            <w:r>
              <w:rPr>
                <w:rFonts w:hint="eastAsia" w:ascii="仿宋" w:hAnsi="仿宋" w:eastAsia="仿宋" w:cs="仿宋"/>
                <w:bCs/>
                <w:sz w:val="28"/>
                <w:szCs w:val="28"/>
              </w:rPr>
              <w:t xml:space="preserve">2. </w:t>
            </w:r>
            <w:r>
              <w:rPr>
                <w:rFonts w:ascii="仿宋" w:hAnsi="仿宋" w:eastAsia="仿宋" w:cs="仿宋"/>
                <w:bCs/>
                <w:sz w:val="28"/>
                <w:szCs w:val="28"/>
              </w:rPr>
              <w:t>体外释放与体内PK智能建模方向</w:t>
            </w:r>
          </w:p>
          <w:p w14:paraId="3C6E5A6C">
            <w:pPr>
              <w:spacing w:line="44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具备在线/快速检测技术开发经验（如光谱、波谱等），掌握过程数据建模方法，能够针对关键参数建立快速检测或预测模型。具备机器学习、深度学习算法开发能力，擅长处理多变量时间序列数据，开发智能控制或预测模型，如体外释放行为的快速检测与建模，以及基于体外释放曲线预测犬/猫体内药代动力学行为（体内外相关性IVIVC模型）。</w:t>
            </w:r>
          </w:p>
          <w:p w14:paraId="27EC0095">
            <w:pPr>
              <w:spacing w:line="440" w:lineRule="exact"/>
              <w:rPr>
                <w:rFonts w:hint="eastAsia" w:ascii="仿宋" w:hAnsi="仿宋" w:eastAsia="仿宋" w:cs="仿宋"/>
                <w:bCs/>
                <w:sz w:val="28"/>
                <w:szCs w:val="28"/>
              </w:rPr>
            </w:pPr>
            <w:r>
              <w:rPr>
                <w:rFonts w:hint="eastAsia" w:ascii="仿宋" w:hAnsi="仿宋" w:eastAsia="仿宋" w:cs="仿宋"/>
                <w:bCs/>
                <w:sz w:val="28"/>
                <w:szCs w:val="28"/>
              </w:rPr>
              <w:t xml:space="preserve">3. </w:t>
            </w:r>
            <w:r>
              <w:rPr>
                <w:rFonts w:ascii="仿宋" w:hAnsi="仿宋" w:eastAsia="仿宋" w:cs="仿宋"/>
                <w:bCs/>
                <w:sz w:val="28"/>
                <w:szCs w:val="28"/>
              </w:rPr>
              <w:t>数字孪生与工艺放大方向</w:t>
            </w:r>
          </w:p>
          <w:p w14:paraId="4BD97EFF">
            <w:pPr>
              <w:spacing w:line="44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能够将机理模型与数据驱动模型相结合，构建过程混合模型，具备模型在线更新和校正技术，在本项目中用于制剂工艺（如冻干、无菌过滤）的数字孪生建模与工艺放大预测。</w:t>
            </w:r>
          </w:p>
          <w:p w14:paraId="222B4710">
            <w:pPr>
              <w:spacing w:line="440" w:lineRule="exact"/>
              <w:rPr>
                <w:rFonts w:hint="eastAsia" w:ascii="仿宋" w:hAnsi="仿宋" w:eastAsia="仿宋" w:cs="仿宋"/>
                <w:bCs/>
                <w:sz w:val="28"/>
                <w:szCs w:val="28"/>
              </w:rPr>
            </w:pPr>
            <w:r>
              <w:rPr>
                <w:rFonts w:hint="eastAsia" w:ascii="仿宋" w:hAnsi="仿宋" w:eastAsia="仿宋" w:cs="仿宋"/>
                <w:bCs/>
                <w:sz w:val="28"/>
                <w:szCs w:val="28"/>
              </w:rPr>
              <w:t>（三）合作内容与方式</w:t>
            </w:r>
          </w:p>
          <w:p w14:paraId="15A104B0">
            <w:pPr>
              <w:spacing w:line="440" w:lineRule="exact"/>
              <w:rPr>
                <w:rFonts w:hint="eastAsia" w:ascii="仿宋" w:hAnsi="仿宋" w:eastAsia="仿宋" w:cs="仿宋"/>
                <w:bCs/>
                <w:sz w:val="28"/>
                <w:szCs w:val="28"/>
              </w:rPr>
            </w:pPr>
            <w:r>
              <w:rPr>
                <w:rFonts w:hint="eastAsia" w:ascii="仿宋" w:hAnsi="仿宋" w:eastAsia="仿宋" w:cs="仿宋"/>
                <w:bCs/>
                <w:sz w:val="28"/>
                <w:szCs w:val="28"/>
              </w:rPr>
              <w:t>揭榜方主要负责以下工作：</w:t>
            </w:r>
          </w:p>
          <w:p w14:paraId="17730F98">
            <w:pPr>
              <w:spacing w:line="44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AI载体筛选平台建设：开展载体结构-性能数据挖掘、关联模型建立、候选载体预测与评价，筛选出具有高包封率（≥85%）和高载药量（≥10%）的TTX特异性结合载体。</w:t>
            </w:r>
          </w:p>
          <w:p w14:paraId="13061ACD">
            <w:pPr>
              <w:spacing w:line="44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体内外相关性预测模型开发：利用迁移学习或物理信息神经网络等方法，建立体外释放行为到犬/猫体内药代动力学参数的映射模型，实现虚拟生物等效性评估。</w:t>
            </w:r>
          </w:p>
          <w:p w14:paraId="22CED8F5">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合作方式可采取联合攻关、技术咨询、人才联合培养等多种形式。项目采取“揭榜挂帅”机制，揭榜方需承诺投入相应技术力量，按期完成各项研究任务，合作成果优先在企业进行产业化应用。</w:t>
            </w:r>
          </w:p>
        </w:tc>
      </w:tr>
    </w:tbl>
    <w:p w14:paraId="7EB54DC4">
      <w:pPr>
        <w:numPr>
          <w:ilvl w:val="0"/>
          <w:numId w:val="0"/>
        </w:numPr>
        <w:spacing w:line="240" w:lineRule="auto"/>
        <w:ind w:firstLine="640" w:firstLineChars="200"/>
        <w:rPr>
          <w:rFonts w:hint="eastAsia" w:ascii="方正黑体_GBK" w:hAnsi="方正黑体_GBK" w:eastAsia="方正黑体_GBK" w:cs="方正黑体_GBK"/>
          <w:b w:val="0"/>
          <w:bCs/>
          <w:color w:val="auto"/>
          <w:kern w:val="2"/>
          <w:sz w:val="32"/>
          <w:szCs w:val="32"/>
          <w:lang w:val="en-US" w:eastAsia="zh-CN" w:bidi="ar-SA"/>
        </w:rPr>
      </w:pPr>
    </w:p>
    <w:p w14:paraId="612898A7">
      <w:pPr>
        <w:numPr>
          <w:ilvl w:val="0"/>
          <w:numId w:val="0"/>
        </w:numPr>
        <w:spacing w:line="240" w:lineRule="auto"/>
        <w:ind w:firstLine="640" w:firstLineChars="200"/>
        <w:rPr>
          <w:rFonts w:hint="eastAsia" w:ascii="方正黑体_GBK" w:hAnsi="方正黑体_GBK" w:eastAsia="方正黑体_GBK" w:cs="方正黑体_GBK"/>
          <w:b w:val="0"/>
          <w:bCs/>
          <w:color w:val="auto"/>
          <w:kern w:val="2"/>
          <w:sz w:val="32"/>
          <w:szCs w:val="32"/>
          <w:lang w:val="en-US" w:eastAsia="zh-CN" w:bidi="ar-SA"/>
        </w:rPr>
      </w:pPr>
      <w:r>
        <w:rPr>
          <w:rFonts w:hint="eastAsia" w:ascii="方正黑体_GBK" w:hAnsi="方正黑体_GBK" w:eastAsia="方正黑体_GBK" w:cs="方正黑体_GBK"/>
          <w:b w:val="0"/>
          <w:bCs/>
          <w:color w:val="auto"/>
          <w:kern w:val="2"/>
          <w:sz w:val="32"/>
          <w:szCs w:val="32"/>
          <w:lang w:val="en-US" w:eastAsia="zh-CN" w:bidi="ar-SA"/>
        </w:rPr>
        <w:t>二、发榜金额测算说明</w:t>
      </w:r>
    </w:p>
    <w:p w14:paraId="18E1D6DF">
      <w:pPr>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本项目围绕AI 驱动替曲朵辛（TTX）长效宠物镇痛药载体筛选、制剂开发、临床前验证及第三方IIT研究开展，发榜总额500万元，其中设备费80万元、业务费420万元。</w:t>
      </w:r>
    </w:p>
    <w:p w14:paraId="6E6FCA98">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一、设备费：80万元</w:t>
      </w:r>
    </w:p>
    <w:p w14:paraId="41B487B6">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用于支撑 AI筛选结果实验验证、制剂表征、质量控制，全部自筹。</w:t>
      </w:r>
    </w:p>
    <w:p w14:paraId="463BBF77">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val="en-US"/>
        </w:rPr>
        <w:t>高效液相色谱仪（HPLC）2台：用于原料药、载体复合物、制剂含量/杂质检测，40万元</w:t>
      </w:r>
    </w:p>
    <w:p w14:paraId="65B4906D">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val="en-US"/>
        </w:rPr>
        <w:t>动态光散射仪（DLS）1台：载体粒径、Zeta 电位表征，12万元</w:t>
      </w:r>
    </w:p>
    <w:p w14:paraId="3048985B">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val="en-US"/>
        </w:rPr>
        <w:t>冷冻干燥机（小型）1台：制剂冻干工艺小试，10万元</w:t>
      </w:r>
    </w:p>
    <w:p w14:paraId="034884C9">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val="en-US"/>
        </w:rPr>
        <w:t>超纯水系统1套：实验用水保障，8万元</w:t>
      </w:r>
    </w:p>
    <w:p w14:paraId="78598822">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val="en-US"/>
        </w:rPr>
        <w:t>无菌过滤与微生物限度检测系统1套：制剂无菌验证，7万元</w:t>
      </w:r>
    </w:p>
    <w:p w14:paraId="5B1F5E98">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val="en-US"/>
        </w:rPr>
        <w:t>高速冷冻离心机1台：样品前处理、载体分离，3万元</w:t>
      </w:r>
    </w:p>
    <w:p w14:paraId="1E79E7C9">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省财政拨款：0万元；满足“省财政设备费不超过申请金额 40%”要求。</w:t>
      </w:r>
    </w:p>
    <w:p w14:paraId="2D662B86">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二、业务费：420万元</w:t>
      </w:r>
    </w:p>
    <w:p w14:paraId="159889DB">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（一）AI研发专项费用：100万元</w:t>
      </w:r>
    </w:p>
    <w:p w14:paraId="719A981B">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rPr>
        <w:t xml:space="preserve"> AI模型开发费：50万元</w:t>
      </w:r>
    </w:p>
    <w:p w14:paraId="73280DB0">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TTX特异性载体AI虚拟筛选模型（GNN/Transformer架构）构建及轻量化部署：28万元</w:t>
      </w:r>
    </w:p>
    <w:p w14:paraId="16D65B53">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犬猫体内外释放/药代预测模型（迁移学习+简化PINN）开发与验证：18万元</w:t>
      </w:r>
    </w:p>
    <w:p w14:paraId="5E5D7602">
      <w:pPr>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AI筛选软件界面及模型调用接口开发：4万元</w:t>
      </w:r>
    </w:p>
    <w:p w14:paraId="4225DD6F">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rPr>
        <w:t>算力与数据费：28万元</w:t>
      </w:r>
    </w:p>
    <w:p w14:paraId="733730C2">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GPU云算力租赁（A10/T4级为主，兼顾轻量化训练，周期10个月）：16万元</w:t>
      </w:r>
    </w:p>
    <w:p w14:paraId="3029F510">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犬猫生理代谢数据库、载体辅料结合能相关数据集采购及预处理：12万元</w:t>
      </w:r>
    </w:p>
    <w:p w14:paraId="78106F15">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rPr>
        <w:t>AI技术服务与专家咨询费：22万元</w:t>
      </w:r>
    </w:p>
    <w:p w14:paraId="68EFB1E9">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AI4S方向专家咨询（模型方案评审、关键算法优化指导，按次/周期结算）：10万元</w:t>
      </w:r>
    </w:p>
    <w:p w14:paraId="02271CD0">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算法工程师驻场/远程技术服务（模型训练、调参与迭代优化，周期10个月）：12万元</w:t>
      </w:r>
    </w:p>
    <w:p w14:paraId="2DE289A6">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（二）劳务费：90万元</w:t>
      </w:r>
    </w:p>
    <w:p w14:paraId="0C354D4B">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用于项目核心研发人员及辅助人员的劳务报酬、社保及绩效奖励，周期24个月。</w:t>
      </w:r>
    </w:p>
    <w:p w14:paraId="7D6E4E75">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AI算法研发人员（2人，含模型开发与迭代优化）：50万元</w:t>
      </w:r>
    </w:p>
    <w:p w14:paraId="3D0D4C73">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药物化学/制剂实验人员（3人，含载体合成、表征、制剂工艺）：32万元</w:t>
      </w:r>
    </w:p>
    <w:p w14:paraId="04E90B2D">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实验动物及临聘技术人员（1-2人，辅助饲养、给药、样本采集）：8万元</w:t>
      </w:r>
    </w:p>
    <w:p w14:paraId="4952E7A3">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（三）载体筛选与实验验证费：95万元</w:t>
      </w:r>
    </w:p>
    <w:p w14:paraId="264F4AD1">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rPr>
        <w:t>AI筛选候选载体合成（20–30种，含迭代优化）：45万元</w:t>
      </w:r>
    </w:p>
    <w:p w14:paraId="111C5030">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新型载体材料（环糊精衍生物、多肽、树枝状大分子等）定制合成</w:t>
      </w:r>
    </w:p>
    <w:p w14:paraId="51F159DA">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合成路线优化及小批量（克级）制备</w:t>
      </w:r>
    </w:p>
    <w:p w14:paraId="64B1B716">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rPr>
        <w:t>载体-TTX复合物系统表征：30万元</w:t>
      </w:r>
    </w:p>
    <w:p w14:paraId="13BE0DAD">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包封率、载药量、粒径、电位、形貌（SEM/TEM）检测</w:t>
      </w:r>
    </w:p>
    <w:p w14:paraId="0A74028B">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体外释放动力学（多pH条件、酶解稳定性）</w:t>
      </w:r>
    </w:p>
    <w:p w14:paraId="224FC09B">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复合物结构确证（NMR、FTIR、LC-MS/MS）</w:t>
      </w:r>
    </w:p>
    <w:p w14:paraId="059B4046">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rPr>
        <w:t>体外生物评价：20万元</w:t>
      </w:r>
    </w:p>
    <w:p w14:paraId="15E437CF">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细胞毒性（MTT法，多细胞系）</w:t>
      </w:r>
    </w:p>
    <w:p w14:paraId="2C5EBB6E">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体外镇痛活性筛选（神经元钠电流抑制，膜片钳或荧光探针）</w:t>
      </w:r>
    </w:p>
    <w:p w14:paraId="49EB37C9">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初步溶血性与刺激性评价</w:t>
      </w:r>
    </w:p>
    <w:p w14:paraId="15CA535F">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（四）制剂工艺开发费：65万元</w:t>
      </w:r>
    </w:p>
    <w:p w14:paraId="42162DED">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rPr>
        <w:t>AI辅助处方优化与筛选：25万元</w:t>
      </w:r>
    </w:p>
    <w:p w14:paraId="090C312D">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基于预测模型的辅料种类与配比优化</w:t>
      </w:r>
    </w:p>
    <w:p w14:paraId="2C4E25CD">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冻干/无菌过滤工艺参数AI辅助确定</w:t>
      </w:r>
    </w:p>
    <w:p w14:paraId="551ECA04">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rPr>
        <w:t>小试样品制备（5–8批）及工艺放大：28万元</w:t>
      </w:r>
    </w:p>
    <w:p w14:paraId="44A03F60">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小试（百支级）及中试放大（千支级）样品制备</w:t>
      </w:r>
    </w:p>
    <w:p w14:paraId="0F656F2F">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工艺参数（pH、温度、混合速率）稳健性考察</w:t>
      </w:r>
    </w:p>
    <w:p w14:paraId="29C4122E">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无菌保障与灌装工艺研究</w:t>
      </w:r>
    </w:p>
    <w:p w14:paraId="4CEDE1D1">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rPr>
        <w:t>质量控制与稳定性研究：12万元</w:t>
      </w:r>
    </w:p>
    <w:p w14:paraId="6C1E152F">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建立质量标准（含量、有关物质、无菌、内毒素）</w:t>
      </w:r>
    </w:p>
    <w:p w14:paraId="482DA0C0">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加速稳定性（6个月）及长期稳定性（12个月）考察</w:t>
      </w:r>
    </w:p>
    <w:p w14:paraId="42F31CE7">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lang w:val="en-US"/>
        </w:rPr>
        <w:t>）第三方IIT与临床前研究费：50万元</w:t>
      </w:r>
    </w:p>
    <w:p w14:paraId="56F0E210">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本公司不开展动物实验与临床研究，全部委托具备兽药 GLP 资质的第三方机构实施</w:t>
      </w:r>
    </w:p>
    <w:p w14:paraId="6006AB05">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lang w:val="en-US"/>
        </w:rPr>
        <w:t>）差旅/会议/交流：18万元</w:t>
      </w:r>
    </w:p>
    <w:p w14:paraId="42BA47CA">
      <w:pPr>
        <w:ind w:firstLine="640" w:firstLineChars="20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w:t>
      </w:r>
      <w:r>
        <w:rPr>
          <w:rFonts w:hint="eastAsia" w:ascii="方正仿宋_GB2312" w:hAnsi="方正仿宋_GB2312" w:eastAsia="方正仿宋_GB2312" w:cs="方正仿宋_GB2312"/>
          <w:sz w:val="32"/>
          <w:szCs w:val="32"/>
          <w:lang w:val="en-US" w:eastAsia="zh-CN"/>
        </w:rPr>
        <w:t>七</w:t>
      </w:r>
      <w:r>
        <w:rPr>
          <w:rFonts w:hint="eastAsia" w:ascii="方正仿宋_GB2312" w:hAnsi="方正仿宋_GB2312" w:eastAsia="方正仿宋_GB2312" w:cs="方正仿宋_GB2312"/>
          <w:sz w:val="32"/>
          <w:szCs w:val="32"/>
          <w:lang w:val="en-US"/>
        </w:rPr>
        <w:t>）文献传播费用2万元：申请专利1万元/项*2项=2万元。</w:t>
      </w:r>
    </w:p>
    <w:p w14:paraId="4590768E">
      <w:pPr>
        <w:numPr>
          <w:ilvl w:val="0"/>
          <w:numId w:val="0"/>
        </w:numPr>
        <w:spacing w:line="240" w:lineRule="auto"/>
        <w:ind w:firstLine="640" w:firstLineChars="200"/>
        <w:rPr>
          <w:rFonts w:hint="eastAsia" w:ascii="方正黑体_GBK" w:hAnsi="方正黑体_GBK" w:eastAsia="方正黑体_GBK" w:cs="方正黑体_GBK"/>
          <w:b w:val="0"/>
          <w:bCs/>
          <w:color w:val="auto"/>
          <w:kern w:val="2"/>
          <w:sz w:val="32"/>
          <w:szCs w:val="32"/>
          <w:lang w:val="en-US" w:eastAsia="zh-CN" w:bidi="ar-SA"/>
        </w:rPr>
      </w:pPr>
      <w:bookmarkStart w:id="0" w:name="_GoBack"/>
      <w:bookmarkEnd w:id="0"/>
    </w:p>
    <w:p w14:paraId="55E8986C"/>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AFAA49-6DB1-4B23-A7D4-94C8773137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387375-3B51-4993-B892-DC35CC268483}"/>
  </w:font>
  <w:font w:name="方正仿宋_GB2312">
    <w:panose1 w:val="02000000000000000000"/>
    <w:charset w:val="86"/>
    <w:family w:val="auto"/>
    <w:pitch w:val="default"/>
    <w:sig w:usb0="A00002BF" w:usb1="184F6CFA" w:usb2="00000012" w:usb3="00000000" w:csb0="00040001" w:csb1="00000000"/>
    <w:embedRegular r:id="rId3" w:fontKey="{FECAB414-3859-4A31-ACD2-BF96FC51DD69}"/>
  </w:font>
  <w:font w:name="方正小标宋_GBK">
    <w:panose1 w:val="02000000000000000000"/>
    <w:charset w:val="86"/>
    <w:family w:val="auto"/>
    <w:pitch w:val="default"/>
    <w:sig w:usb0="A00002BF" w:usb1="38CF7CFA" w:usb2="00082016" w:usb3="00000000" w:csb0="00040001" w:csb1="00000000"/>
    <w:embedRegular r:id="rId4" w:fontKey="{AF08DCAA-58BD-4C96-A774-C75E3A4793C2}"/>
  </w:font>
  <w:font w:name="方正黑体_GBK">
    <w:panose1 w:val="02010600010101010101"/>
    <w:charset w:val="86"/>
    <w:family w:val="auto"/>
    <w:pitch w:val="default"/>
    <w:sig w:usb0="00000001" w:usb1="080E0000" w:usb2="00000000" w:usb3="00000000" w:csb0="00040000" w:csb1="00000000"/>
    <w:embedRegular r:id="rId5" w:fontKey="{3F79F391-4197-478D-A199-746171F6C5AA}"/>
  </w:font>
  <w:font w:name="仿宋">
    <w:panose1 w:val="02010609060101010101"/>
    <w:charset w:val="86"/>
    <w:family w:val="auto"/>
    <w:pitch w:val="default"/>
    <w:sig w:usb0="800002BF" w:usb1="38CF7CFA" w:usb2="00000016" w:usb3="00000000" w:csb0="00040001" w:csb1="00000000"/>
    <w:embedRegular r:id="rId6" w:fontKey="{2385D324-21AC-4357-BB2F-2BF4966A058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900FE"/>
    <w:rsid w:val="1C790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Indent"/>
    <w:basedOn w:val="1"/>
    <w:qFormat/>
    <w:uiPriority w:val="0"/>
    <w:pPr>
      <w:spacing w:after="120"/>
      <w:ind w:left="420" w:leftChars="200"/>
    </w:pPr>
  </w:style>
  <w:style w:type="paragraph" w:styleId="4">
    <w:name w:val="Body Text First Indent 2"/>
    <w:basedOn w:val="3"/>
    <w:next w:val="1"/>
    <w:qFormat/>
    <w:uiPriority w:val="0"/>
    <w:pPr>
      <w:spacing w:after="0" w:line="580" w:lineRule="exact"/>
      <w:ind w:left="0" w:leftChars="0" w:firstLine="420" w:firstLineChars="200"/>
    </w:pPr>
    <w:rPr>
      <w:sz w:val="3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2026-06-11T01:38:00Z</dcterms:created>
  <dc:creator>黄小宇</dc:creator>
  <cp:lastModifiedBy>黄小宇</cp:lastModifiedBy>
  <dcterms:modified xsi:type="dcterms:W3CDTF">2026-06-11T01:40:37Z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C2E6ADB6882245DDA968026DE9C118D5_11</vt:lpwstr>
  </property>
  <property fmtid="{D5CDD505-2E9C-101B-9397-08002B2CF9AE}" pid="4" name="KSOTemplateDocerSaveRecord">
    <vt:lpwstr>eyJoZGlkIjoiY2IxYzJlMzI0MWI0YzI4NDJkZTcyYjgzYzU0ZDMwZGIiLCJ1c2VySWQiOiIxMTMxODg4NTk2In0=</vt:lpwstr>
  </property>
</Properties>
</file>