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大标宋简体" w:cs="Times New Roman"/>
          <w:color w:val="000000"/>
          <w:sz w:val="44"/>
          <w:szCs w:val="44"/>
        </w:rPr>
      </w:pPr>
      <w:r>
        <w:rPr>
          <w:rFonts w:ascii="Times New Roman" w:hAnsi="Times New Roman" w:eastAsia="方正大标宋简体" w:cs="Times New Roman"/>
          <w:color w:val="000000"/>
          <w:sz w:val="44"/>
          <w:szCs w:val="44"/>
        </w:rPr>
        <w:t>六安市科技专家大院建设考评标准</w:t>
      </w:r>
    </w:p>
    <w:p>
      <w:pPr>
        <w:spacing w:line="240" w:lineRule="exact"/>
        <w:jc w:val="center"/>
        <w:rPr>
          <w:rFonts w:ascii="Times New Roman" w:hAnsi="Times New Roman" w:cs="Times New Roman"/>
          <w:b/>
          <w:color w:val="000000"/>
          <w:szCs w:val="21"/>
        </w:rPr>
      </w:pPr>
    </w:p>
    <w:tbl>
      <w:tblPr>
        <w:tblStyle w:val="3"/>
        <w:tblW w:w="9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249"/>
        <w:gridCol w:w="765"/>
        <w:gridCol w:w="4926"/>
        <w:gridCol w:w="782"/>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200"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一级指称</w:t>
            </w:r>
          </w:p>
        </w:tc>
        <w:tc>
          <w:tcPr>
            <w:tcW w:w="1249"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二级指称</w:t>
            </w:r>
          </w:p>
        </w:tc>
        <w:tc>
          <w:tcPr>
            <w:tcW w:w="765"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分值</w:t>
            </w:r>
          </w:p>
        </w:tc>
        <w:tc>
          <w:tcPr>
            <w:tcW w:w="4926"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评</w:t>
            </w:r>
            <w:r>
              <w:rPr>
                <w:rFonts w:ascii="Times New Roman" w:hAnsi="Times New Roman" w:eastAsia="黑体" w:cs="Times New Roman"/>
                <w:bCs/>
                <w:kern w:val="0"/>
                <w:sz w:val="24"/>
                <w:szCs w:val="24"/>
              </w:rPr>
              <w:t xml:space="preserve"> </w:t>
            </w:r>
            <w:r>
              <w:rPr>
                <w:rFonts w:ascii="Times New Roman" w:hAnsi="黑体" w:eastAsia="黑体" w:cs="Times New Roman"/>
                <w:bCs/>
                <w:kern w:val="0"/>
                <w:sz w:val="24"/>
                <w:szCs w:val="24"/>
              </w:rPr>
              <w:t>分</w:t>
            </w:r>
            <w:r>
              <w:rPr>
                <w:rFonts w:ascii="Times New Roman" w:hAnsi="Times New Roman" w:eastAsia="黑体" w:cs="Times New Roman"/>
                <w:bCs/>
                <w:kern w:val="0"/>
                <w:sz w:val="24"/>
                <w:szCs w:val="24"/>
              </w:rPr>
              <w:t xml:space="preserve"> </w:t>
            </w:r>
            <w:r>
              <w:rPr>
                <w:rFonts w:ascii="Times New Roman" w:hAnsi="黑体" w:eastAsia="黑体" w:cs="Times New Roman"/>
                <w:bCs/>
                <w:kern w:val="0"/>
                <w:sz w:val="24"/>
                <w:szCs w:val="24"/>
              </w:rPr>
              <w:t>标</w:t>
            </w:r>
            <w:r>
              <w:rPr>
                <w:rFonts w:ascii="Times New Roman" w:hAnsi="Times New Roman" w:eastAsia="黑体" w:cs="Times New Roman"/>
                <w:bCs/>
                <w:kern w:val="0"/>
                <w:sz w:val="24"/>
                <w:szCs w:val="24"/>
              </w:rPr>
              <w:t xml:space="preserve"> </w:t>
            </w:r>
            <w:r>
              <w:rPr>
                <w:rFonts w:ascii="Times New Roman" w:hAnsi="黑体" w:eastAsia="黑体" w:cs="Times New Roman"/>
                <w:bCs/>
                <w:kern w:val="0"/>
                <w:sz w:val="24"/>
                <w:szCs w:val="24"/>
              </w:rPr>
              <w:t>准</w:t>
            </w:r>
          </w:p>
        </w:tc>
        <w:tc>
          <w:tcPr>
            <w:tcW w:w="782"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自评分</w:t>
            </w:r>
          </w:p>
        </w:tc>
        <w:tc>
          <w:tcPr>
            <w:tcW w:w="847" w:type="dxa"/>
            <w:vAlign w:val="center"/>
          </w:tcPr>
          <w:p>
            <w:pPr>
              <w:widowControl/>
              <w:spacing w:before="100" w:beforeAutospacing="1" w:after="100" w:afterAutospacing="1"/>
              <w:ind w:left="-42" w:leftChars="-20" w:right="-42" w:rightChars="-2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考评得分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基础设施</w:t>
            </w:r>
          </w:p>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w:t>
            </w:r>
            <w:r>
              <w:rPr>
                <w:rFonts w:ascii="Times New Roman" w:hAnsi="Times New Roman" w:eastAsia="仿宋_GB2312" w:cs="Times New Roman"/>
                <w:kern w:val="0"/>
                <w:sz w:val="24"/>
                <w:szCs w:val="24"/>
              </w:rPr>
              <w:t>10</w:t>
            </w:r>
            <w:r>
              <w:rPr>
                <w:rFonts w:ascii="Times New Roman" w:hAnsi="仿宋_GB2312" w:eastAsia="仿宋_GB2312" w:cs="Times New Roman"/>
                <w:kern w:val="0"/>
                <w:sz w:val="24"/>
                <w:szCs w:val="24"/>
              </w:rPr>
              <w:t>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基本建设</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有专家大院标牌得</w:t>
            </w:r>
            <w:r>
              <w:rPr>
                <w:rFonts w:ascii="Times New Roman" w:hAnsi="Times New Roman" w:eastAsia="仿宋_GB2312" w:cs="Times New Roman"/>
                <w:kern w:val="0"/>
                <w:sz w:val="24"/>
                <w:szCs w:val="24"/>
              </w:rPr>
              <w:t>1</w:t>
            </w:r>
            <w:r>
              <w:rPr>
                <w:rFonts w:ascii="Times New Roman" w:hAnsi="仿宋_GB2312" w:eastAsia="仿宋_GB2312" w:cs="Times New Roman"/>
                <w:kern w:val="0"/>
                <w:sz w:val="24"/>
                <w:szCs w:val="24"/>
              </w:rPr>
              <w:t>分；有醒目标识墙，首席专家及研发项目简介清晰明了得</w:t>
            </w:r>
            <w:r>
              <w:rPr>
                <w:rFonts w:ascii="Times New Roman" w:hAnsi="Times New Roman" w:eastAsia="仿宋_GB2312" w:cs="Times New Roman"/>
                <w:kern w:val="0"/>
                <w:sz w:val="24"/>
                <w:szCs w:val="24"/>
              </w:rPr>
              <w:t>2</w:t>
            </w:r>
            <w:r>
              <w:rPr>
                <w:rFonts w:ascii="Times New Roman" w:hAnsi="仿宋_GB2312" w:eastAsia="仿宋_GB2312" w:cs="Times New Roman"/>
                <w:kern w:val="0"/>
                <w:sz w:val="24"/>
                <w:szCs w:val="24"/>
              </w:rPr>
              <w:t>分。</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研发条件</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有试验田或中试车间得</w:t>
            </w:r>
            <w:r>
              <w:rPr>
                <w:rFonts w:ascii="Times New Roman" w:hAnsi="Times New Roman" w:eastAsia="仿宋_GB2312" w:cs="Times New Roman"/>
                <w:kern w:val="0"/>
                <w:sz w:val="24"/>
                <w:szCs w:val="24"/>
              </w:rPr>
              <w:t>2</w:t>
            </w:r>
            <w:r>
              <w:rPr>
                <w:rFonts w:ascii="Times New Roman" w:hAnsi="仿宋_GB2312" w:eastAsia="仿宋_GB2312" w:cs="Times New Roman"/>
                <w:kern w:val="0"/>
                <w:sz w:val="24"/>
                <w:szCs w:val="24"/>
              </w:rPr>
              <w:t>分；院内配备有实验室、资料室和培训教室得</w:t>
            </w:r>
            <w:r>
              <w:rPr>
                <w:rFonts w:ascii="Times New Roman" w:hAnsi="Times New Roman" w:eastAsia="仿宋_GB2312" w:cs="Times New Roman"/>
                <w:kern w:val="0"/>
                <w:sz w:val="24"/>
                <w:szCs w:val="24"/>
              </w:rPr>
              <w:t>2</w:t>
            </w:r>
            <w:r>
              <w:rPr>
                <w:rFonts w:ascii="Times New Roman" w:hAnsi="仿宋_GB2312" w:eastAsia="仿宋_GB2312" w:cs="Times New Roman"/>
                <w:kern w:val="0"/>
                <w:sz w:val="24"/>
                <w:szCs w:val="24"/>
              </w:rPr>
              <w:t>分。</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生活条件</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专家大院有专人管理得</w:t>
            </w:r>
            <w:r>
              <w:rPr>
                <w:rFonts w:ascii="Times New Roman" w:hAnsi="Times New Roman" w:eastAsia="仿宋_GB2312" w:cs="Times New Roman"/>
                <w:kern w:val="0"/>
                <w:sz w:val="24"/>
                <w:szCs w:val="24"/>
              </w:rPr>
              <w:t>1</w:t>
            </w:r>
            <w:r>
              <w:rPr>
                <w:rFonts w:ascii="Times New Roman" w:hAnsi="仿宋_GB2312" w:eastAsia="仿宋_GB2312" w:cs="Times New Roman"/>
                <w:kern w:val="0"/>
                <w:sz w:val="24"/>
                <w:szCs w:val="24"/>
              </w:rPr>
              <w:t>分；建有稳定、舒适的专家食宿生活场所得</w:t>
            </w:r>
            <w:r>
              <w:rPr>
                <w:rFonts w:ascii="Times New Roman" w:hAnsi="Times New Roman" w:eastAsia="仿宋_GB2312" w:cs="Times New Roman"/>
                <w:kern w:val="0"/>
                <w:sz w:val="24"/>
                <w:szCs w:val="24"/>
              </w:rPr>
              <w:t>2</w:t>
            </w:r>
            <w:r>
              <w:rPr>
                <w:rFonts w:ascii="Times New Roman" w:hAnsi="仿宋_GB2312" w:eastAsia="仿宋_GB2312" w:cs="Times New Roman"/>
                <w:kern w:val="0"/>
                <w:sz w:val="24"/>
                <w:szCs w:val="24"/>
              </w:rPr>
              <w:t>分。</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首席专家</w:t>
            </w:r>
          </w:p>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w:t>
            </w:r>
            <w:r>
              <w:rPr>
                <w:rFonts w:ascii="Times New Roman" w:hAnsi="Times New Roman" w:eastAsia="仿宋_GB2312" w:cs="Times New Roman"/>
                <w:kern w:val="0"/>
                <w:sz w:val="24"/>
                <w:szCs w:val="24"/>
              </w:rPr>
              <w:t>15</w:t>
            </w:r>
            <w:r>
              <w:rPr>
                <w:rFonts w:ascii="Times New Roman" w:hAnsi="仿宋_GB2312" w:eastAsia="仿宋_GB2312" w:cs="Times New Roman"/>
                <w:kern w:val="0"/>
                <w:sz w:val="24"/>
                <w:szCs w:val="24"/>
              </w:rPr>
              <w:t>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业务水平</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首席专家属省内行业技术领军人物，并正在从事大院研发项目方面的研究。</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在院时间</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首席专家和团队成员每年在院工作有效工作日不少于</w:t>
            </w:r>
            <w:r>
              <w:rPr>
                <w:rFonts w:ascii="Times New Roman" w:hAnsi="Times New Roman" w:eastAsia="仿宋_GB2312" w:cs="Times New Roman"/>
                <w:kern w:val="0"/>
                <w:sz w:val="24"/>
                <w:szCs w:val="24"/>
              </w:rPr>
              <w:t>100</w:t>
            </w:r>
            <w:r>
              <w:rPr>
                <w:rFonts w:ascii="Times New Roman" w:hAnsi="仿宋_GB2312" w:eastAsia="仿宋_GB2312" w:cs="Times New Roman"/>
                <w:kern w:val="0"/>
                <w:sz w:val="24"/>
                <w:szCs w:val="24"/>
              </w:rPr>
              <w:t>天。</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履行职责</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技术上实行首席专家负责制得</w:t>
            </w:r>
            <w:r>
              <w:rPr>
                <w:rFonts w:ascii="Times New Roman" w:hAnsi="Times New Roman" w:eastAsia="仿宋_GB2312" w:cs="Times New Roman"/>
                <w:kern w:val="0"/>
                <w:sz w:val="24"/>
                <w:szCs w:val="24"/>
              </w:rPr>
              <w:t>2</w:t>
            </w:r>
            <w:r>
              <w:rPr>
                <w:rFonts w:ascii="Times New Roman" w:hAnsi="仿宋_GB2312" w:eastAsia="仿宋_GB2312" w:cs="Times New Roman"/>
                <w:kern w:val="0"/>
                <w:sz w:val="24"/>
                <w:szCs w:val="24"/>
              </w:rPr>
              <w:t>分；专家有年度工作总结得</w:t>
            </w:r>
            <w:r>
              <w:rPr>
                <w:rFonts w:ascii="Times New Roman" w:hAnsi="Times New Roman" w:eastAsia="仿宋_GB2312" w:cs="Times New Roman"/>
                <w:kern w:val="0"/>
                <w:sz w:val="24"/>
                <w:szCs w:val="24"/>
              </w:rPr>
              <w:t>3</w:t>
            </w:r>
            <w:r>
              <w:rPr>
                <w:rFonts w:ascii="Times New Roman" w:hAnsi="仿宋_GB2312" w:eastAsia="仿宋_GB2312" w:cs="Times New Roman"/>
                <w:kern w:val="0"/>
                <w:sz w:val="24"/>
                <w:szCs w:val="24"/>
              </w:rPr>
              <w:t>分。</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运行机制</w:t>
            </w:r>
          </w:p>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w:t>
            </w:r>
            <w:r>
              <w:rPr>
                <w:rFonts w:ascii="Times New Roman" w:hAnsi="Times New Roman" w:eastAsia="仿宋_GB2312" w:cs="Times New Roman"/>
                <w:kern w:val="0"/>
                <w:sz w:val="24"/>
                <w:szCs w:val="24"/>
              </w:rPr>
              <w:t>25</w:t>
            </w:r>
            <w:r>
              <w:rPr>
                <w:rFonts w:ascii="Times New Roman" w:hAnsi="仿宋_GB2312" w:eastAsia="仿宋_GB2312" w:cs="Times New Roman"/>
                <w:kern w:val="0"/>
                <w:sz w:val="24"/>
                <w:szCs w:val="24"/>
              </w:rPr>
              <w:t>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合作协议</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仿宋_GB2312" w:eastAsia="仿宋_GB2312" w:cs="Times New Roman"/>
                <w:kern w:val="0"/>
                <w:sz w:val="24"/>
                <w:szCs w:val="24"/>
              </w:rPr>
              <w:t>大院与专家签订有权、责、利明晰的技术合作协议。</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利益分配</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大院按协议规定及时兑现专家技术服务费或利润分成。</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结对帮扶</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spacing w:val="-4"/>
                <w:kern w:val="0"/>
                <w:sz w:val="24"/>
                <w:szCs w:val="24"/>
              </w:rPr>
            </w:pPr>
            <w:r>
              <w:rPr>
                <w:rFonts w:ascii="Times New Roman" w:hAnsi="Times New Roman" w:eastAsia="仿宋_GB2312" w:cs="Times New Roman"/>
                <w:spacing w:val="-4"/>
                <w:kern w:val="0"/>
                <w:sz w:val="24"/>
                <w:szCs w:val="24"/>
              </w:rPr>
              <w:t>与建档立卡贫困户结对帮扶，并签订帮扶协议。</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研发项目</w:t>
            </w:r>
          </w:p>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实施方案</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项目实施方案可操作性强，方案中总体目标和年度目标明确。</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项目进展</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完成年度阶段性目标任务。</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实施成效</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项目实施成效显著，建立成熟的生产流水线或标准化技术规程，辐射带动周边效果明显。</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经费投入（15分）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项目支撑</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获得省级以上相关部门立项并获得经费支持。</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企业投入</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企业研发投入经费能够基本满足大院开展技术研发和成果转化的需要。</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00" w:type="dxa"/>
            <w:vMerge w:val="restart"/>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实施效果</w:t>
            </w:r>
          </w:p>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（20分）</w:t>
            </w: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企业效益</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大院科技研发成果及时转化，企业自身自主创新能力显著增强，对产业拉动效果明显。</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农民收入</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项目区内农民收入较区外提高10%以上。</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200" w:type="dxa"/>
            <w:vMerge w:val="continue"/>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p>
        </w:tc>
        <w:tc>
          <w:tcPr>
            <w:tcW w:w="1249"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技术进步</w:t>
            </w:r>
          </w:p>
        </w:tc>
        <w:tc>
          <w:tcPr>
            <w:tcW w:w="765"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4926" w:type="dxa"/>
            <w:vAlign w:val="center"/>
          </w:tcPr>
          <w:p>
            <w:pPr>
              <w:widowControl/>
              <w:spacing w:line="340" w:lineRule="exact"/>
              <w:ind w:left="-42" w:leftChars="-20" w:right="-42" w:rightChars="-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研发项目取得科技成果。</w:t>
            </w: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200" w:type="dxa"/>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2014" w:type="dxa"/>
            <w:gridSpan w:val="2"/>
            <w:vAlign w:val="center"/>
          </w:tcPr>
          <w:p>
            <w:pPr>
              <w:widowControl/>
              <w:spacing w:before="100" w:beforeAutospacing="1" w:after="100" w:afterAutospacing="1" w:line="360" w:lineRule="exact"/>
              <w:ind w:left="-42" w:leftChars="-20" w:right="-42" w:rightChars="-2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100</w:t>
            </w:r>
          </w:p>
        </w:tc>
        <w:tc>
          <w:tcPr>
            <w:tcW w:w="4926" w:type="dxa"/>
            <w:vAlign w:val="center"/>
          </w:tcPr>
          <w:p>
            <w:pPr>
              <w:widowControl/>
              <w:spacing w:before="100" w:beforeAutospacing="1" w:after="100" w:afterAutospacing="1" w:line="360" w:lineRule="exact"/>
              <w:ind w:left="-42" w:leftChars="-20" w:right="-42" w:rightChars="-20"/>
              <w:jc w:val="left"/>
              <w:rPr>
                <w:rFonts w:ascii="Times New Roman" w:hAnsi="Times New Roman" w:eastAsia="仿宋_GB2312" w:cs="Times New Roman"/>
                <w:kern w:val="0"/>
                <w:sz w:val="24"/>
                <w:szCs w:val="24"/>
              </w:rPr>
            </w:pPr>
          </w:p>
        </w:tc>
        <w:tc>
          <w:tcPr>
            <w:tcW w:w="782"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c>
          <w:tcPr>
            <w:tcW w:w="847" w:type="dxa"/>
            <w:vAlign w:val="center"/>
          </w:tcPr>
          <w:p>
            <w:pPr>
              <w:widowControl/>
              <w:spacing w:before="100" w:beforeAutospacing="1" w:after="100" w:afterAutospacing="1" w:line="360" w:lineRule="exact"/>
              <w:ind w:left="-42" w:leftChars="-20" w:right="-42" w:rightChars="-20"/>
              <w:jc w:val="center"/>
              <w:rPr>
                <w:rFonts w:ascii="Times New Roman" w:hAnsi="Times New Roman" w:cs="Times New Roman"/>
                <w:kern w:val="0"/>
                <w:sz w:val="24"/>
                <w:szCs w:val="24"/>
              </w:rPr>
            </w:pPr>
          </w:p>
        </w:tc>
      </w:tr>
    </w:tbl>
    <w:p>
      <w:bookmarkStart w:id="0" w:name="_GoBack"/>
      <w:bookmarkEnd w:id="0"/>
    </w:p>
    <w:sectPr>
      <w:pgSz w:w="11906" w:h="16838"/>
      <w:pgMar w:top="1587" w:right="1701" w:bottom="1587" w:left="1701"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7709"/>
    <w:rsid w:val="62D56082"/>
    <w:rsid w:val="7EBF77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2017-03-01T08:01:00Z</dcterms:created>
  <dc:creator>杨静</dc:creator>
  <cp:lastModifiedBy>杨静</cp:lastModifiedBy>
  <dcterms:modified xsi:type="dcterms:W3CDTF">2017-03-01T08:01:42Z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